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38F" w:rsidRDefault="008F638F" w:rsidP="008F638F">
      <w:pPr>
        <w:sectPr w:rsidR="008F638F" w:rsidSect="00327501">
          <w:headerReference w:type="even" r:id="rId7"/>
          <w:headerReference w:type="default" r:id="rId8"/>
          <w:footerReference w:type="even" r:id="rId9"/>
          <w:footerReference w:type="default" r:id="rId10"/>
          <w:headerReference w:type="first" r:id="rId11"/>
          <w:pgSz w:w="12242" w:h="18722" w:code="193"/>
          <w:pgMar w:top="1985" w:right="1797" w:bottom="2268" w:left="1797" w:header="709" w:footer="709" w:gutter="0"/>
          <w:pgNumType w:start="1"/>
          <w:cols w:space="708"/>
          <w:docGrid w:linePitch="326"/>
        </w:sectPr>
      </w:pPr>
    </w:p>
    <w:p w:rsidR="007B1435" w:rsidRDefault="007B1435" w:rsidP="001C0363">
      <w:pPr>
        <w:spacing w:after="0"/>
        <w:ind w:left="4320"/>
        <w:jc w:val="right"/>
        <w:rPr>
          <w:rFonts w:ascii="Century Gothic" w:hAnsi="Century Gothic" w:cs="Arial"/>
          <w:noProof/>
          <w:sz w:val="20"/>
          <w:szCs w:val="20"/>
        </w:rPr>
      </w:pPr>
      <w:bookmarkStart w:id="0" w:name="_GoBack"/>
      <w:bookmarkEnd w:id="0"/>
    </w:p>
    <w:p w:rsidR="007B1435" w:rsidRDefault="007B1435" w:rsidP="001C0363">
      <w:pPr>
        <w:spacing w:after="0"/>
        <w:ind w:left="4320"/>
        <w:jc w:val="right"/>
        <w:rPr>
          <w:rFonts w:ascii="Century Gothic" w:hAnsi="Century Gothic" w:cs="Arial"/>
          <w:noProo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8"/>
      </w:tblGrid>
      <w:tr w:rsidR="00603656" w:rsidRPr="00603656" w:rsidTr="00603656">
        <w:trPr>
          <w:trHeight w:val="576"/>
        </w:trPr>
        <w:tc>
          <w:tcPr>
            <w:tcW w:w="0" w:type="auto"/>
            <w:tcBorders>
              <w:bottom w:val="single" w:sz="4" w:space="0" w:color="auto"/>
            </w:tcBorders>
            <w:shd w:val="clear" w:color="auto" w:fill="auto"/>
            <w:vAlign w:val="center"/>
            <w:hideMark/>
          </w:tcPr>
          <w:p w:rsidR="00603656" w:rsidRPr="00603656" w:rsidRDefault="00603656" w:rsidP="00603656">
            <w:pPr>
              <w:spacing w:after="0"/>
              <w:jc w:val="center"/>
              <w:rPr>
                <w:rFonts w:ascii="Calibri" w:eastAsia="Times New Roman" w:hAnsi="Calibri" w:cs="Times New Roman"/>
                <w:b/>
                <w:bCs/>
                <w:color w:val="000000"/>
                <w:sz w:val="22"/>
                <w:szCs w:val="22"/>
                <w:lang w:val="es-419"/>
              </w:rPr>
            </w:pPr>
            <w:r w:rsidRPr="00603656">
              <w:rPr>
                <w:rFonts w:ascii="Calibri" w:eastAsia="Times New Roman" w:hAnsi="Calibri" w:cs="Times New Roman"/>
                <w:b/>
                <w:bCs/>
                <w:color w:val="000000"/>
                <w:sz w:val="22"/>
                <w:szCs w:val="22"/>
                <w:lang w:val="es-419"/>
              </w:rPr>
              <w:t>Marco normativo de las Dependencias</w:t>
            </w:r>
            <w:r w:rsidRPr="00603656">
              <w:rPr>
                <w:rFonts w:ascii="Calibri" w:eastAsia="Times New Roman" w:hAnsi="Calibri" w:cs="Times New Roman"/>
                <w:b/>
                <w:bCs/>
                <w:color w:val="000000"/>
                <w:sz w:val="22"/>
                <w:szCs w:val="22"/>
                <w:lang w:val="es-419"/>
              </w:rPr>
              <w:br/>
              <w:t>Procuraduría de los Derechos Humanos 2021</w:t>
            </w:r>
          </w:p>
        </w:tc>
      </w:tr>
      <w:tr w:rsidR="00603656" w:rsidRPr="00603656" w:rsidTr="00603656">
        <w:trPr>
          <w:trHeight w:val="360"/>
        </w:trPr>
        <w:tc>
          <w:tcPr>
            <w:tcW w:w="0" w:type="auto"/>
            <w:tcBorders>
              <w:top w:val="single" w:sz="4" w:space="0" w:color="auto"/>
              <w:left w:val="single" w:sz="4" w:space="0" w:color="auto"/>
              <w:bottom w:val="nil"/>
              <w:right w:val="single" w:sz="4" w:space="0" w:color="auto"/>
            </w:tcBorders>
            <w:shd w:val="clear" w:color="auto" w:fill="auto"/>
            <w:vAlign w:val="bottom"/>
            <w:hideMark/>
          </w:tcPr>
          <w:p w:rsidR="00603656" w:rsidRPr="00603656" w:rsidRDefault="00603656" w:rsidP="00603656">
            <w:pPr>
              <w:spacing w:after="0"/>
              <w:rPr>
                <w:rFonts w:ascii="Calibri" w:eastAsia="Times New Roman" w:hAnsi="Calibri" w:cs="Times New Roman"/>
                <w:b/>
                <w:bCs/>
                <w:color w:val="FF0000"/>
                <w:sz w:val="28"/>
                <w:szCs w:val="28"/>
                <w:lang w:val="es-419"/>
              </w:rPr>
            </w:pPr>
            <w:r w:rsidRPr="00603656">
              <w:rPr>
                <w:rFonts w:ascii="Calibri" w:eastAsia="Times New Roman" w:hAnsi="Calibri" w:cs="Times New Roman"/>
                <w:b/>
                <w:bCs/>
                <w:color w:val="FF0000"/>
                <w:sz w:val="28"/>
                <w:szCs w:val="28"/>
                <w:lang w:val="es-419"/>
              </w:rPr>
              <w:t xml:space="preserve">Enlace a normativa y acuerdos institucionales:  </w:t>
            </w:r>
          </w:p>
        </w:tc>
      </w:tr>
      <w:tr w:rsidR="00603656" w:rsidRPr="00603656" w:rsidTr="00603656">
        <w:trPr>
          <w:trHeight w:val="576"/>
        </w:trPr>
        <w:tc>
          <w:tcPr>
            <w:tcW w:w="0" w:type="auto"/>
            <w:tcBorders>
              <w:top w:val="nil"/>
            </w:tcBorders>
            <w:shd w:val="clear" w:color="auto" w:fill="auto"/>
            <w:noWrap/>
            <w:vAlign w:val="bottom"/>
            <w:hideMark/>
          </w:tcPr>
          <w:p w:rsidR="00603656" w:rsidRPr="00603656" w:rsidRDefault="00603656" w:rsidP="00603656">
            <w:pPr>
              <w:spacing w:after="0"/>
              <w:rPr>
                <w:rFonts w:ascii="Calibri" w:eastAsia="Times New Roman" w:hAnsi="Calibri" w:cs="Times New Roman"/>
                <w:color w:val="0563C1"/>
                <w:sz w:val="32"/>
                <w:szCs w:val="32"/>
                <w:u w:val="single"/>
                <w:lang w:val="es-419"/>
              </w:rPr>
            </w:pPr>
            <w:hyperlink r:id="rId12" w:history="1">
              <w:r w:rsidRPr="00603656">
                <w:rPr>
                  <w:rFonts w:ascii="Calibri" w:eastAsia="Times New Roman" w:hAnsi="Calibri" w:cs="Times New Roman"/>
                  <w:color w:val="0563C1"/>
                  <w:sz w:val="32"/>
                  <w:szCs w:val="32"/>
                  <w:u w:val="single"/>
                  <w:lang w:val="es-419"/>
                </w:rPr>
                <w:t>https://www.pdh.org.gt/transparencia/acuerdos-pdh.html</w:t>
              </w:r>
            </w:hyperlink>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Constitución Política de la República de Guatemala - Reformada por Acuerdo legislativo Número 18-93 del 17 de Noviembre de 1993</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Comité contra la Tortura (CAT)</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Comité contra las Desapariciones Forzadas (CED)</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Comité de Derechos Económicos, Sociales y Culturales (CESCR)</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Comité de Derechos Humanos (CCPR)</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Comité de los Derechos del Niño (CRC)</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Comité para la Eliminación de la Discriminación contra la Mujer (CEDAW)</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Comité para la Eliminación de la Discriminación Racial (CERD)</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Comité para la Protección de los Derechos de todos los Trabajadores Migratorios y de sus Familiares (CMW)</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Comité sobre los derechos de las personas con discapacidad (CRPD)</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 xml:space="preserve">Conferencia Hemisférica sobre libertad de expresión, México, 11 de marzo de 1994, (Declaración de Chapultepec). </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Convención Americana Sobre Derechos Humanos (Pacto de San José) 22 de noviembre de 1969</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Convención de Viena sobre el derecho de los tratados</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Convención Interamericana contra la Corrupción</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Convenio de la Organización Internacional del Trabajo Número 100 Sobre la Igualdad de Remuneración</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Convenio de la Organización Internacional del Trabajo Número 111 Sobre la Discriminación (empleo y ocupación)</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 xml:space="preserve">Convenio de la Organización Internacional del Trabajo Número 122 Sobre la Política de Empleo </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Convenio de la Organización Internacional del Trabajo Número 144 Sobre la Consulta Tripartita</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Convenio de la Organización Internacional del Trabajo Número 154 Sobre la Negociación Colectiva.</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Convenio de la Organización Internacional del Trabajo Número 169 Sobre Pueblos Indígenas y Tribales</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Convenio de la Organización Internacional del Trabajo Número 175 Sobre el Trabajo a Tiempo Parcial.</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Convenio de la Organización Internacional del Trabajo Número 81 Sobre la Inspección de Trabajo</w:t>
            </w:r>
          </w:p>
        </w:tc>
      </w:tr>
      <w:tr w:rsidR="00603656" w:rsidRPr="00603656" w:rsidTr="00603656">
        <w:trPr>
          <w:trHeight w:val="576"/>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Convenio de la Organización Internacional del Trabajo Número 87 Sobre la Libertad Sindical y la Protección del Derecho de Sindicación</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Convenio de la Organización Internacional del Trabajo Número 95 Sobre la Protección del Salario</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Convenio de la Organización Internacional del Trabajo Número 98 Sobre el Derecho de Sindicación y de Negociación Colectiva</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Declaración de Nuevo León, México adoptada en 2004</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lastRenderedPageBreak/>
              <w:t xml:space="preserve">Declaración de París sobre la eficacia de la ayuda al desarrollo (2005)Programa de acción de </w:t>
            </w:r>
            <w:proofErr w:type="spellStart"/>
            <w:r w:rsidRPr="00603656">
              <w:rPr>
                <w:rFonts w:ascii="Calibri" w:eastAsia="Times New Roman" w:hAnsi="Calibri" w:cs="Times New Roman"/>
                <w:color w:val="000000"/>
                <w:sz w:val="22"/>
                <w:szCs w:val="22"/>
                <w:lang w:val="es-419"/>
              </w:rPr>
              <w:t>accra</w:t>
            </w:r>
            <w:proofErr w:type="spellEnd"/>
            <w:r w:rsidRPr="00603656">
              <w:rPr>
                <w:rFonts w:ascii="Calibri" w:eastAsia="Times New Roman" w:hAnsi="Calibri" w:cs="Times New Roman"/>
                <w:color w:val="000000"/>
                <w:sz w:val="22"/>
                <w:szCs w:val="22"/>
                <w:lang w:val="es-419"/>
              </w:rPr>
              <w:t xml:space="preserve"> (2008)</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 xml:space="preserve">Declaración Universal de Derechos Humanos. Artículo 19, Resolución 217 A (III) del 10 de diciembre de 1948. </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 xml:space="preserve">Decreto </w:t>
            </w:r>
            <w:proofErr w:type="gramStart"/>
            <w:r w:rsidRPr="00603656">
              <w:rPr>
                <w:rFonts w:ascii="Calibri" w:eastAsia="Times New Roman" w:hAnsi="Calibri" w:cs="Times New Roman"/>
                <w:color w:val="000000"/>
                <w:sz w:val="22"/>
                <w:szCs w:val="22"/>
                <w:lang w:val="es-419"/>
              </w:rPr>
              <w:t>Número  121</w:t>
            </w:r>
            <w:proofErr w:type="gramEnd"/>
            <w:r w:rsidRPr="00603656">
              <w:rPr>
                <w:rFonts w:ascii="Calibri" w:eastAsia="Times New Roman" w:hAnsi="Calibri" w:cs="Times New Roman"/>
                <w:color w:val="000000"/>
                <w:sz w:val="22"/>
                <w:szCs w:val="22"/>
                <w:lang w:val="es-419"/>
              </w:rPr>
              <w:t xml:space="preserve">-96 del Congreso de la República de Guatemala, Ley Arbitrio de Ornato Municipal. </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 xml:space="preserve">Decreto Número  1633 del Congreso de la República de Guatemala, relativo al Aguinaldo </w:t>
            </w:r>
          </w:p>
        </w:tc>
      </w:tr>
      <w:tr w:rsidR="00603656" w:rsidRPr="00603656" w:rsidTr="00603656">
        <w:trPr>
          <w:trHeight w:val="576"/>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 xml:space="preserve">Decreto Número  42-92 del Congreso de la República de Guatemala, Ley de Bonificación Anual para Trabajadores del Sector Público y Privado </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 xml:space="preserve">Decreto </w:t>
            </w:r>
            <w:proofErr w:type="gramStart"/>
            <w:r w:rsidRPr="00603656">
              <w:rPr>
                <w:rFonts w:ascii="Calibri" w:eastAsia="Times New Roman" w:hAnsi="Calibri" w:cs="Times New Roman"/>
                <w:color w:val="000000"/>
                <w:sz w:val="22"/>
                <w:szCs w:val="22"/>
                <w:lang w:val="es-419"/>
              </w:rPr>
              <w:t>Número  80</w:t>
            </w:r>
            <w:proofErr w:type="gramEnd"/>
            <w:r w:rsidRPr="00603656">
              <w:rPr>
                <w:rFonts w:ascii="Calibri" w:eastAsia="Times New Roman" w:hAnsi="Calibri" w:cs="Times New Roman"/>
                <w:color w:val="000000"/>
                <w:sz w:val="22"/>
                <w:szCs w:val="22"/>
                <w:lang w:val="es-419"/>
              </w:rPr>
              <w:t xml:space="preserve">-96 del Congreso de la República de Guatemala, Ley Protección para las Personas de la Tercera Edad. </w:t>
            </w:r>
          </w:p>
        </w:tc>
      </w:tr>
      <w:tr w:rsidR="00603656" w:rsidRPr="00603656" w:rsidTr="00603656">
        <w:trPr>
          <w:trHeight w:val="576"/>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 xml:space="preserve">Decreto </w:t>
            </w:r>
            <w:proofErr w:type="gramStart"/>
            <w:r w:rsidRPr="00603656">
              <w:rPr>
                <w:rFonts w:ascii="Calibri" w:eastAsia="Times New Roman" w:hAnsi="Calibri" w:cs="Times New Roman"/>
                <w:color w:val="000000"/>
                <w:sz w:val="22"/>
                <w:szCs w:val="22"/>
                <w:lang w:val="es-419"/>
              </w:rPr>
              <w:t>Número  89</w:t>
            </w:r>
            <w:proofErr w:type="gramEnd"/>
            <w:r w:rsidRPr="00603656">
              <w:rPr>
                <w:rFonts w:ascii="Calibri" w:eastAsia="Times New Roman" w:hAnsi="Calibri" w:cs="Times New Roman"/>
                <w:color w:val="000000"/>
                <w:sz w:val="22"/>
                <w:szCs w:val="22"/>
                <w:lang w:val="es-419"/>
              </w:rPr>
              <w:t xml:space="preserve">-2002 del Congreso de la República de Guatemala, Ley de Probidad y Responsabilidad de Funcionarios y Empleados Públicos. </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Decreto Número 101-97 del Congreso de la República de Guatemala, Ley Orgánica del Presupuesto y sus  reformas</w:t>
            </w:r>
          </w:p>
        </w:tc>
      </w:tr>
      <w:tr w:rsidR="00603656" w:rsidRPr="00603656" w:rsidTr="00603656">
        <w:trPr>
          <w:trHeight w:val="576"/>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Decreto Número 11-2016 del Congreso de la República de Guatemala, Ley de Incremento Económico a las Pensiones otorgadas por el Régimen de Clases Pasivas Civiles del Estado.</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Decreto Número 11-73 del Congreso de la República de Guatemala, Ley de Salarios de la Administración Pública.</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Decreto Número 119-96 del Congreso de la República de Guatemala, Ley de lo Contencioso Administrativo</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 xml:space="preserve">Decreto Número 13-2013 Reformas al Decreto Número 101-97 del Congreso de la República, Ley Orgánica del Presupuesto </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Decreto Número 1441 del Congreso de la República de Guatemala, Código de Trabajo y sus reformas</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Decreto Número 17-73 del Congreso de la República de Guatemala, Código Penal y sus Reformas</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 xml:space="preserve">Decreto Número 1-86 de la Asamblea Nacional Constituyente, Ley de Amparo, Exhibición Personal y de Constitucionalidad </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 xml:space="preserve">Decreto Número 1986, de Jorge Ubico, Ley Orgánica del Departamento de Fianzas </w:t>
            </w:r>
            <w:proofErr w:type="spellStart"/>
            <w:r w:rsidRPr="00603656">
              <w:rPr>
                <w:rFonts w:ascii="Calibri" w:eastAsia="Times New Roman" w:hAnsi="Calibri" w:cs="Times New Roman"/>
                <w:color w:val="000000"/>
                <w:sz w:val="22"/>
                <w:szCs w:val="22"/>
                <w:lang w:val="es-419"/>
              </w:rPr>
              <w:t>de el</w:t>
            </w:r>
            <w:proofErr w:type="spellEnd"/>
            <w:r w:rsidRPr="00603656">
              <w:rPr>
                <w:rFonts w:ascii="Calibri" w:eastAsia="Times New Roman" w:hAnsi="Calibri" w:cs="Times New Roman"/>
                <w:color w:val="000000"/>
                <w:sz w:val="22"/>
                <w:szCs w:val="22"/>
                <w:lang w:val="es-419"/>
              </w:rPr>
              <w:t xml:space="preserve"> Crédito Hipotecario Nacional de Guatemala</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Decreto Número 25-2010 del Congreso de la República de Guatemala, Ley de la Actividad Aseguradora</w:t>
            </w:r>
          </w:p>
        </w:tc>
      </w:tr>
      <w:tr w:rsidR="00603656" w:rsidRPr="00603656" w:rsidTr="00603656">
        <w:trPr>
          <w:trHeight w:val="576"/>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Decreto Número 25-2018, del Congreso de la República de Guatemala, Ley de Presupuesto General de Ingresos y Egresos del Estado para el ejercicio fiscal 2019</w:t>
            </w:r>
          </w:p>
        </w:tc>
      </w:tr>
      <w:tr w:rsidR="00603656" w:rsidRPr="00603656" w:rsidTr="00603656">
        <w:trPr>
          <w:trHeight w:val="576"/>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Decreto Número 27-2003 del Congreso de la República de Guatemala, Ley de Protección Integral de la Niñez y Adolescencia/Decreto 27-2003</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Decreto Número 2-89 del Congreso de la República de Guatemala, Ley del Organismo Judicial y sus reformas</w:t>
            </w:r>
          </w:p>
        </w:tc>
      </w:tr>
      <w:tr w:rsidR="00603656" w:rsidRPr="00603656" w:rsidTr="00603656">
        <w:trPr>
          <w:trHeight w:val="576"/>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Decreto Número 31-2002 del Congreso de la República de Guatemala, Ley Orgánica de la Contraloría General de Cuentas</w:t>
            </w:r>
          </w:p>
        </w:tc>
      </w:tr>
      <w:tr w:rsidR="00603656" w:rsidRPr="00603656" w:rsidTr="00603656">
        <w:trPr>
          <w:trHeight w:val="576"/>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Decreto Número 32-2005 del Congreso de la República de Guatemala, Ley del Sistema Nacional de Seguridad Alimentaria y Nutricional</w:t>
            </w:r>
          </w:p>
        </w:tc>
      </w:tr>
      <w:tr w:rsidR="00603656" w:rsidRPr="00603656" w:rsidTr="00603656">
        <w:trPr>
          <w:trHeight w:val="576"/>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 xml:space="preserve">Decreto Número 37-2001 del Congreso de la República de Guatemala, relativo al incremento a la </w:t>
            </w:r>
            <w:proofErr w:type="gramStart"/>
            <w:r w:rsidRPr="00603656">
              <w:rPr>
                <w:rFonts w:ascii="Calibri" w:eastAsia="Times New Roman" w:hAnsi="Calibri" w:cs="Times New Roman"/>
                <w:color w:val="000000"/>
                <w:sz w:val="22"/>
                <w:szCs w:val="22"/>
                <w:lang w:val="es-419"/>
              </w:rPr>
              <w:t>Bonificación  Incentivo</w:t>
            </w:r>
            <w:proofErr w:type="gramEnd"/>
            <w:r w:rsidRPr="00603656">
              <w:rPr>
                <w:rFonts w:ascii="Calibri" w:eastAsia="Times New Roman" w:hAnsi="Calibri" w:cs="Times New Roman"/>
                <w:color w:val="000000"/>
                <w:sz w:val="22"/>
                <w:szCs w:val="22"/>
                <w:lang w:val="es-419"/>
              </w:rPr>
              <w:t xml:space="preserve"> para los Trabajadores del Sector Privado. </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Decreto Número 51-92 del Congreso de la República de Guatemala, Código Procesal Penal y sus  reformas</w:t>
            </w:r>
          </w:p>
        </w:tc>
      </w:tr>
      <w:tr w:rsidR="00603656" w:rsidRPr="00603656" w:rsidTr="00603656">
        <w:trPr>
          <w:trHeight w:val="864"/>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Decreto Número 54-86 del Congreso de la República de Guatemala, Ley de la Comisión de Derechos Humanos del Congreso de la República y del Procurador de los Derechos Humanos, modificado por el Decreto Número 32-87 del Congreso de la República de Guatemala</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lastRenderedPageBreak/>
              <w:t>Decreto Número 57-2008 del Congreso de la República de Guatemala, Ley de Acceso a la Información Pública</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Decreto Número 57-92 del Congreso de la República de Guatemala, Ley de Contrataciones del Estado y sus reformas</w:t>
            </w:r>
          </w:p>
        </w:tc>
      </w:tr>
      <w:tr w:rsidR="00603656" w:rsidRPr="00603656" w:rsidTr="00603656">
        <w:trPr>
          <w:trHeight w:val="576"/>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 xml:space="preserve">Decreto Número 63-88 del Congreso de la República de Guatemala, Ley </w:t>
            </w:r>
            <w:proofErr w:type="gramStart"/>
            <w:r w:rsidRPr="00603656">
              <w:rPr>
                <w:rFonts w:ascii="Calibri" w:eastAsia="Times New Roman" w:hAnsi="Calibri" w:cs="Times New Roman"/>
                <w:color w:val="000000"/>
                <w:sz w:val="22"/>
                <w:szCs w:val="22"/>
                <w:lang w:val="es-419"/>
              </w:rPr>
              <w:t>de  Clases</w:t>
            </w:r>
            <w:proofErr w:type="gramEnd"/>
            <w:r w:rsidRPr="00603656">
              <w:rPr>
                <w:rFonts w:ascii="Calibri" w:eastAsia="Times New Roman" w:hAnsi="Calibri" w:cs="Times New Roman"/>
                <w:color w:val="000000"/>
                <w:sz w:val="22"/>
                <w:szCs w:val="22"/>
                <w:lang w:val="es-419"/>
              </w:rPr>
              <w:t xml:space="preserve"> Pasivas Civiles del Estado Bonificación Anual para Trabajadores del Sector Público y Privado. </w:t>
            </w:r>
          </w:p>
        </w:tc>
      </w:tr>
      <w:tr w:rsidR="00603656" w:rsidRPr="00603656" w:rsidTr="00603656">
        <w:trPr>
          <w:trHeight w:val="576"/>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 xml:space="preserve">Decreto Número 7-2000 del Congreso de la República de Guatemala, relativo a la Bonificación e Incentivo para los Trabajadores del Sector Privado. </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Decreto Número 72-2001 del Congreso de la República de Guatemala, Ley de Colegiación Profesional Obligatoria</w:t>
            </w:r>
          </w:p>
        </w:tc>
      </w:tr>
      <w:tr w:rsidR="00603656" w:rsidRPr="00603656" w:rsidTr="00603656">
        <w:trPr>
          <w:trHeight w:val="576"/>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 xml:space="preserve">Decreto Número 78-89 del Congreso de la República de Guatemala, Ley de Bonificación e Incentivo para los Trabajadores del Sector Privado. </w:t>
            </w:r>
          </w:p>
        </w:tc>
      </w:tr>
      <w:tr w:rsidR="00603656" w:rsidRPr="00603656" w:rsidTr="00603656">
        <w:trPr>
          <w:trHeight w:val="576"/>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Distribución Analítica del Presupuesto / Acuerdo 243-2018 del Ministerio de Finanzas Públicas.</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Pr>
                <w:rFonts w:ascii="Calibri" w:eastAsia="Times New Roman" w:hAnsi="Calibri" w:cs="Times New Roman"/>
                <w:color w:val="000000"/>
                <w:sz w:val="22"/>
                <w:szCs w:val="22"/>
                <w:lang w:val="es-419"/>
              </w:rPr>
              <w:t xml:space="preserve">Informe del </w:t>
            </w:r>
            <w:r w:rsidRPr="00603656">
              <w:rPr>
                <w:rFonts w:ascii="Calibri" w:eastAsia="Times New Roman" w:hAnsi="Calibri" w:cs="Times New Roman"/>
                <w:color w:val="000000"/>
                <w:sz w:val="22"/>
                <w:szCs w:val="22"/>
                <w:lang w:val="es-419"/>
              </w:rPr>
              <w:t xml:space="preserve">Relator Especial sobre Derecho a la Libertad de Expresión de la ONU. E/CN.4/2000/63 del 18 de enero de 2000. </w:t>
            </w:r>
          </w:p>
        </w:tc>
      </w:tr>
      <w:tr w:rsidR="00603656" w:rsidRPr="00603656" w:rsidTr="00603656">
        <w:trPr>
          <w:trHeight w:val="1152"/>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Informe E/CN.4/1998/40 del 28 de enero de 1998. Relator Especial, Promoción y protección del derecho a libertad de opinión y expresión de la ONU para la Libertad de Opinión y Expresión.   La Comisión fue establecida por el Consejo Económico y Social (ECOSOC) en 1946 para promover los derechos humanos, y fue hasta el año 2006 cuando la reemplazó el Consejo de Derechos Humanos, Asamblea General de la ONU, Resolución 60/251, 3 de abril de 2006</w:t>
            </w:r>
          </w:p>
        </w:tc>
      </w:tr>
      <w:tr w:rsidR="00603656" w:rsidRPr="00603656" w:rsidTr="00603656">
        <w:trPr>
          <w:trHeight w:val="576"/>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La Declaración Universal de los Derechos Humanos, convenios y tratados suscritos y ratificados por Guatemala en materia de Derechos Humanos.   Los Principios de París, estatus y funcionamiento de las Instituciones Nacionales de Derechos Humanos.</w:t>
            </w:r>
          </w:p>
        </w:tc>
      </w:tr>
      <w:tr w:rsidR="00603656" w:rsidRPr="00603656" w:rsidTr="00603656">
        <w:trPr>
          <w:trHeight w:val="576"/>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 xml:space="preserve">Mecanismo Internacional para promover la Libertad de Expresión (E/CN.4/2000/63). 18 de enero de 2000. Quincuagésima sexta sesión, Comisión de Derechos Humanos, ONU. </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Normas de Control Interno de Contraloría General de Cuentas</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Oficio Circular DTP-01-2019 de la Dirección Técnica del Presupuesto del Ministerio de Finanzas Públicas.</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Oficio Circular DTP-SIAGEP-DE-02-2018 de la Dirección Técnica del Presupuesto del Ministerio de Finanzas Públicas.</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Pacto Internacional de Derechos Civiles y Políticos</w:t>
            </w:r>
          </w:p>
        </w:tc>
      </w:tr>
      <w:tr w:rsidR="00603656" w:rsidRPr="00603656" w:rsidTr="00603656">
        <w:trPr>
          <w:trHeight w:val="576"/>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n-US"/>
              </w:rPr>
            </w:pPr>
            <w:r w:rsidRPr="00603656">
              <w:rPr>
                <w:rFonts w:ascii="Calibri" w:eastAsia="Times New Roman" w:hAnsi="Calibri" w:cs="Times New Roman"/>
                <w:color w:val="000000"/>
                <w:sz w:val="22"/>
                <w:szCs w:val="22"/>
                <w:lang w:val="es-419"/>
              </w:rPr>
              <w:t xml:space="preserve">Pacto Internacional de Derechos Civiles y Políticos, adoptado por la Asamblea General de la ONU el 16 de diciembre de 1966.  </w:t>
            </w:r>
            <w:proofErr w:type="spellStart"/>
            <w:r w:rsidRPr="00603656">
              <w:rPr>
                <w:rFonts w:ascii="Calibri" w:eastAsia="Times New Roman" w:hAnsi="Calibri" w:cs="Times New Roman"/>
                <w:color w:val="000000"/>
                <w:sz w:val="22"/>
                <w:szCs w:val="22"/>
                <w:lang w:val="en-US"/>
              </w:rPr>
              <w:t>Artículo</w:t>
            </w:r>
            <w:proofErr w:type="spellEnd"/>
            <w:r w:rsidRPr="00603656">
              <w:rPr>
                <w:rFonts w:ascii="Calibri" w:eastAsia="Times New Roman" w:hAnsi="Calibri" w:cs="Times New Roman"/>
                <w:color w:val="000000"/>
                <w:sz w:val="22"/>
                <w:szCs w:val="22"/>
                <w:lang w:val="en-US"/>
              </w:rPr>
              <w:t xml:space="preserve"> 19, </w:t>
            </w:r>
            <w:proofErr w:type="spellStart"/>
            <w:r w:rsidRPr="00603656">
              <w:rPr>
                <w:rFonts w:ascii="Calibri" w:eastAsia="Times New Roman" w:hAnsi="Calibri" w:cs="Times New Roman"/>
                <w:color w:val="000000"/>
                <w:sz w:val="22"/>
                <w:szCs w:val="22"/>
                <w:lang w:val="en-US"/>
              </w:rPr>
              <w:t>Resolución</w:t>
            </w:r>
            <w:proofErr w:type="spellEnd"/>
            <w:r w:rsidRPr="00603656">
              <w:rPr>
                <w:rFonts w:ascii="Calibri" w:eastAsia="Times New Roman" w:hAnsi="Calibri" w:cs="Times New Roman"/>
                <w:color w:val="000000"/>
                <w:sz w:val="22"/>
                <w:szCs w:val="22"/>
                <w:lang w:val="en-US"/>
              </w:rPr>
              <w:t xml:space="preserve"> 2200 A (XXI), </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Pacto Internacional de Derechos Económicos, Sociales y Culturales</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Principios adoptados por el Comité Jurídico Interamericano de la OEA, en la resolución33 CJI/ RES. 147 (LXXIII-O/08).</w:t>
            </w:r>
          </w:p>
        </w:tc>
      </w:tr>
      <w:tr w:rsidR="00603656" w:rsidRPr="00603656" w:rsidTr="00603656">
        <w:trPr>
          <w:trHeight w:val="864"/>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 xml:space="preserve">Principios de Paris (Principios relativos al Estatuto y Funcionamiento de las Instituciones Nacionales de Protección y Promoción de los Derechos Humanos) adoptados por la Comisión de Derechos Humanos de las Naciones Unidas con la Resolución 1992/54 de 1992, reafirmada por la Asamblea </w:t>
            </w:r>
            <w:proofErr w:type="spellStart"/>
            <w:r w:rsidRPr="00603656">
              <w:rPr>
                <w:rFonts w:ascii="Calibri" w:eastAsia="Times New Roman" w:hAnsi="Calibri" w:cs="Times New Roman"/>
                <w:color w:val="000000"/>
                <w:sz w:val="22"/>
                <w:szCs w:val="22"/>
                <w:lang w:val="es-419"/>
              </w:rPr>
              <w:t>Genreal</w:t>
            </w:r>
            <w:proofErr w:type="spellEnd"/>
            <w:r w:rsidRPr="00603656">
              <w:rPr>
                <w:rFonts w:ascii="Calibri" w:eastAsia="Times New Roman" w:hAnsi="Calibri" w:cs="Times New Roman"/>
                <w:color w:val="000000"/>
                <w:sz w:val="22"/>
                <w:szCs w:val="22"/>
                <w:lang w:val="es-419"/>
              </w:rPr>
              <w:t xml:space="preserve"> con resolución 48/134 de 1993.</w:t>
            </w:r>
          </w:p>
        </w:tc>
      </w:tr>
      <w:tr w:rsidR="00603656" w:rsidRPr="00603656" w:rsidTr="00603656">
        <w:trPr>
          <w:trHeight w:val="576"/>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n-US"/>
              </w:rPr>
            </w:pPr>
            <w:r w:rsidRPr="00603656">
              <w:rPr>
                <w:rFonts w:ascii="Calibri" w:eastAsia="Times New Roman" w:hAnsi="Calibri" w:cs="Times New Roman"/>
                <w:color w:val="000000"/>
                <w:sz w:val="22"/>
                <w:szCs w:val="22"/>
                <w:lang w:val="es-419"/>
              </w:rPr>
              <w:t xml:space="preserve">Principios en que debe basarse la legislación relativa a la libertad de información (E/CN.4/2000/63). 18 de enero de 2000. Quincuagésima sexta sesión, Comisión de Derechos Humanos, ONU. </w:t>
            </w:r>
            <w:r w:rsidRPr="00603656">
              <w:rPr>
                <w:rFonts w:ascii="Calibri" w:eastAsia="Times New Roman" w:hAnsi="Calibri" w:cs="Times New Roman"/>
                <w:color w:val="000000"/>
                <w:sz w:val="22"/>
                <w:szCs w:val="22"/>
                <w:lang w:val="en-US"/>
              </w:rPr>
              <w:t xml:space="preserve">El derecho del </w:t>
            </w:r>
            <w:proofErr w:type="spellStart"/>
            <w:r w:rsidRPr="00603656">
              <w:rPr>
                <w:rFonts w:ascii="Calibri" w:eastAsia="Times New Roman" w:hAnsi="Calibri" w:cs="Times New Roman"/>
                <w:color w:val="000000"/>
                <w:sz w:val="22"/>
                <w:szCs w:val="22"/>
                <w:lang w:val="en-US"/>
              </w:rPr>
              <w:t>público</w:t>
            </w:r>
            <w:proofErr w:type="spellEnd"/>
            <w:r w:rsidRPr="00603656">
              <w:rPr>
                <w:rFonts w:ascii="Calibri" w:eastAsia="Times New Roman" w:hAnsi="Calibri" w:cs="Times New Roman"/>
                <w:color w:val="000000"/>
                <w:sz w:val="22"/>
                <w:szCs w:val="22"/>
                <w:lang w:val="en-US"/>
              </w:rPr>
              <w:t xml:space="preserve"> a saber.  </w:t>
            </w:r>
          </w:p>
        </w:tc>
      </w:tr>
      <w:tr w:rsidR="00603656" w:rsidRPr="00603656" w:rsidTr="00603656">
        <w:trPr>
          <w:trHeight w:val="576"/>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Protocolo Adicional a la Convención Americana sobre Derechos Humanos en Materia de Derechos Económicos, Sociales y Culturales "Protocolo De San Salvador" </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Protocolo de Atención urgente de casos de Conflictividad Social, Acuerdo SG- 065-2014 del Procurador de los Derechos Humanos</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Reglamento de la Comisión Interamericana de Derechos Humanos</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n-US"/>
              </w:rPr>
            </w:pPr>
            <w:r w:rsidRPr="00603656">
              <w:rPr>
                <w:rFonts w:ascii="Calibri" w:eastAsia="Times New Roman" w:hAnsi="Calibri" w:cs="Times New Roman"/>
                <w:color w:val="000000"/>
                <w:sz w:val="22"/>
                <w:szCs w:val="22"/>
                <w:lang w:val="es-419"/>
              </w:rPr>
              <w:lastRenderedPageBreak/>
              <w:t xml:space="preserve">Reglamento de la Ley Orgánica de la Contraloría General de Cuentas. </w:t>
            </w:r>
            <w:proofErr w:type="spellStart"/>
            <w:r w:rsidRPr="00603656">
              <w:rPr>
                <w:rFonts w:ascii="Calibri" w:eastAsia="Times New Roman" w:hAnsi="Calibri" w:cs="Times New Roman"/>
                <w:color w:val="000000"/>
                <w:sz w:val="22"/>
                <w:szCs w:val="22"/>
                <w:lang w:val="en-US"/>
              </w:rPr>
              <w:t>Acuerdo</w:t>
            </w:r>
            <w:proofErr w:type="spellEnd"/>
            <w:r w:rsidRPr="00603656">
              <w:rPr>
                <w:rFonts w:ascii="Calibri" w:eastAsia="Times New Roman" w:hAnsi="Calibri" w:cs="Times New Roman"/>
                <w:color w:val="000000"/>
                <w:sz w:val="22"/>
                <w:szCs w:val="22"/>
                <w:lang w:val="en-US"/>
              </w:rPr>
              <w:t xml:space="preserve"> </w:t>
            </w:r>
            <w:proofErr w:type="spellStart"/>
            <w:r w:rsidRPr="00603656">
              <w:rPr>
                <w:rFonts w:ascii="Calibri" w:eastAsia="Times New Roman" w:hAnsi="Calibri" w:cs="Times New Roman"/>
                <w:color w:val="000000"/>
                <w:sz w:val="22"/>
                <w:szCs w:val="22"/>
                <w:lang w:val="en-US"/>
              </w:rPr>
              <w:t>Gubernativo</w:t>
            </w:r>
            <w:proofErr w:type="spellEnd"/>
            <w:r w:rsidRPr="00603656">
              <w:rPr>
                <w:rFonts w:ascii="Calibri" w:eastAsia="Times New Roman" w:hAnsi="Calibri" w:cs="Times New Roman"/>
                <w:color w:val="000000"/>
                <w:sz w:val="22"/>
                <w:szCs w:val="22"/>
                <w:lang w:val="en-US"/>
              </w:rPr>
              <w:t xml:space="preserve"> 9-2017 del </w:t>
            </w:r>
            <w:proofErr w:type="spellStart"/>
            <w:r w:rsidRPr="00603656">
              <w:rPr>
                <w:rFonts w:ascii="Calibri" w:eastAsia="Times New Roman" w:hAnsi="Calibri" w:cs="Times New Roman"/>
                <w:color w:val="000000"/>
                <w:sz w:val="22"/>
                <w:szCs w:val="22"/>
                <w:lang w:val="en-US"/>
              </w:rPr>
              <w:t>Presidente</w:t>
            </w:r>
            <w:proofErr w:type="spellEnd"/>
            <w:r w:rsidRPr="00603656">
              <w:rPr>
                <w:rFonts w:ascii="Calibri" w:eastAsia="Times New Roman" w:hAnsi="Calibri" w:cs="Times New Roman"/>
                <w:color w:val="000000"/>
                <w:sz w:val="22"/>
                <w:szCs w:val="22"/>
                <w:lang w:val="en-US"/>
              </w:rPr>
              <w:t xml:space="preserve"> de la </w:t>
            </w:r>
            <w:proofErr w:type="spellStart"/>
            <w:r w:rsidRPr="00603656">
              <w:rPr>
                <w:rFonts w:ascii="Calibri" w:eastAsia="Times New Roman" w:hAnsi="Calibri" w:cs="Times New Roman"/>
                <w:color w:val="000000"/>
                <w:sz w:val="22"/>
                <w:szCs w:val="22"/>
                <w:lang w:val="en-US"/>
              </w:rPr>
              <w:t>República</w:t>
            </w:r>
            <w:proofErr w:type="spellEnd"/>
            <w:r w:rsidRPr="00603656">
              <w:rPr>
                <w:rFonts w:ascii="Calibri" w:eastAsia="Times New Roman" w:hAnsi="Calibri" w:cs="Times New Roman"/>
                <w:color w:val="000000"/>
                <w:sz w:val="22"/>
                <w:szCs w:val="22"/>
                <w:lang w:val="en-US"/>
              </w:rPr>
              <w:t>.</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Reglamento de la Ley Orgánica del Presupuesto, Acuerdo 540-2013 del Ministerio de Finanzas Públicas</w:t>
            </w:r>
          </w:p>
        </w:tc>
      </w:tr>
      <w:tr w:rsidR="00603656" w:rsidRPr="00603656" w:rsidTr="00603656">
        <w:trPr>
          <w:trHeight w:val="576"/>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 xml:space="preserve">Resolución 1993/45 del 5 de marzo de 1993, la Comisión de Derechos Humanos de la ONU, que estableció la Relatoría Especial de la Organización, para la Libertad de Opinión y Expresión.  </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Resolución 59(1) de la Asamblea General de la Organización de Naciones Unidas (ONU) adoptada el 14 de diciembre de 1946</w:t>
            </w:r>
          </w:p>
        </w:tc>
      </w:tr>
      <w:tr w:rsidR="00603656" w:rsidRPr="00603656" w:rsidTr="00603656">
        <w:trPr>
          <w:trHeight w:val="576"/>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 xml:space="preserve">Resolución de la Asamblea General de las Naciones Unidas. Declaración sobre el derecho y deber de los individuos, los grupos y las instituciones de promover y proteger los derechos humanos y las libertades fundamentales universalmente reconocidos. </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Subcomité para la Prevención de la Tortura (SPT)</w:t>
            </w:r>
          </w:p>
        </w:tc>
      </w:tr>
      <w:tr w:rsidR="00603656" w:rsidRPr="00603656" w:rsidTr="00603656">
        <w:trPr>
          <w:trHeight w:val="576"/>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Acuerdo 410 de la Junta Directiva del Instituto Guatemalteco de Seguridad Social, Reglamento sobre protección relativa a Enfermedad y Maternidad.</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Acuerdo 468 de la Junta Directiva del Instituto Guatemalteco de Seguridad Social, Reglamento de Prestaciones en Dinero</w:t>
            </w:r>
          </w:p>
        </w:tc>
      </w:tr>
      <w:tr w:rsidR="00603656" w:rsidRPr="00603656" w:rsidTr="00603656">
        <w:trPr>
          <w:trHeight w:val="576"/>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Acuerdo 481 de la Junta Directiva del Instituto Guatemalteco de Seguridad Social, Reglamento sobre Protección relativa a Invalidez, Vejez y Sobrevivencia.</w:t>
            </w:r>
          </w:p>
        </w:tc>
      </w:tr>
      <w:tr w:rsidR="00603656" w:rsidRPr="00603656" w:rsidTr="00603656">
        <w:trPr>
          <w:trHeight w:val="576"/>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Acuerdo 97 de la Junta Directiva del Instituto Guatemalteco de Seguridad Social, Reglamento sobre Protección relativa a Accidentes en General.</w:t>
            </w:r>
          </w:p>
        </w:tc>
      </w:tr>
      <w:tr w:rsidR="00603656" w:rsidRPr="00603656" w:rsidTr="00603656">
        <w:trPr>
          <w:trHeight w:val="576"/>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Acuerdo de la Oficina Nacional de Servicio Civil, de fecha 23 de septiembre de 1964 en el cual declara asueto con goce de sueldo el 24 de septiembre de cada por celebrarse en esa fecha el Día del Abogado</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Acuerdo Gubernativo Número 1220-88 Reglamento de la Ley de Clases Pasivas y Civiles del Estado.</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Acuerdo Gubernativo Número 122-2016, del Presidente de la República, Reglamento de la Ley de Contrataciones del Estado.</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n-US"/>
              </w:rPr>
            </w:pPr>
            <w:proofErr w:type="spellStart"/>
            <w:r w:rsidRPr="00603656">
              <w:rPr>
                <w:rFonts w:ascii="Calibri" w:eastAsia="Times New Roman" w:hAnsi="Calibri" w:cs="Times New Roman"/>
                <w:color w:val="000000"/>
                <w:sz w:val="22"/>
                <w:szCs w:val="22"/>
                <w:lang w:val="en-US"/>
              </w:rPr>
              <w:t>Acuerdo</w:t>
            </w:r>
            <w:proofErr w:type="spellEnd"/>
            <w:r w:rsidRPr="00603656">
              <w:rPr>
                <w:rFonts w:ascii="Calibri" w:eastAsia="Times New Roman" w:hAnsi="Calibri" w:cs="Times New Roman"/>
                <w:color w:val="000000"/>
                <w:sz w:val="22"/>
                <w:szCs w:val="22"/>
                <w:lang w:val="en-US"/>
              </w:rPr>
              <w:t xml:space="preserve"> </w:t>
            </w:r>
            <w:proofErr w:type="spellStart"/>
            <w:r w:rsidRPr="00603656">
              <w:rPr>
                <w:rFonts w:ascii="Calibri" w:eastAsia="Times New Roman" w:hAnsi="Calibri" w:cs="Times New Roman"/>
                <w:color w:val="000000"/>
                <w:sz w:val="22"/>
                <w:szCs w:val="22"/>
                <w:lang w:val="en-US"/>
              </w:rPr>
              <w:t>Gubernativo</w:t>
            </w:r>
            <w:proofErr w:type="spellEnd"/>
            <w:r w:rsidRPr="00603656">
              <w:rPr>
                <w:rFonts w:ascii="Calibri" w:eastAsia="Times New Roman" w:hAnsi="Calibri" w:cs="Times New Roman"/>
                <w:color w:val="000000"/>
                <w:sz w:val="22"/>
                <w:szCs w:val="22"/>
                <w:lang w:val="en-US"/>
              </w:rPr>
              <w:t xml:space="preserve"> </w:t>
            </w:r>
            <w:proofErr w:type="spellStart"/>
            <w:r w:rsidRPr="00603656">
              <w:rPr>
                <w:rFonts w:ascii="Calibri" w:eastAsia="Times New Roman" w:hAnsi="Calibri" w:cs="Times New Roman"/>
                <w:color w:val="000000"/>
                <w:sz w:val="22"/>
                <w:szCs w:val="22"/>
                <w:lang w:val="en-US"/>
              </w:rPr>
              <w:t>Número</w:t>
            </w:r>
            <w:proofErr w:type="spellEnd"/>
            <w:r w:rsidRPr="00603656">
              <w:rPr>
                <w:rFonts w:ascii="Calibri" w:eastAsia="Times New Roman" w:hAnsi="Calibri" w:cs="Times New Roman"/>
                <w:color w:val="000000"/>
                <w:sz w:val="22"/>
                <w:szCs w:val="22"/>
                <w:lang w:val="en-US"/>
              </w:rPr>
              <w:t xml:space="preserve"> 217-94</w:t>
            </w:r>
          </w:p>
        </w:tc>
      </w:tr>
      <w:tr w:rsidR="00603656" w:rsidRPr="00603656" w:rsidTr="00603656">
        <w:trPr>
          <w:trHeight w:val="576"/>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Acuerdo Gubernativo Número 327-90 del Presidente de la República, de la Oficina del Servicio Civil, relativo a la Bonificación Profesional.</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Acuerdo Gubernativo Número 540-2013, Reglamento de la Ley Orgánica del Presupuesto</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Acuerdo Gubernativo Número 642-89 , del Presidente de la República, relativo al Bono Vacacional.</w:t>
            </w:r>
          </w:p>
        </w:tc>
      </w:tr>
      <w:tr w:rsidR="00603656" w:rsidRPr="00603656" w:rsidTr="00603656">
        <w:trPr>
          <w:trHeight w:val="576"/>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Acuerdo Gubernativo Número 66-2000, del Presidente de la República, relativo a que no forma parte del salario y que no está sujeto a ningún descuento.</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Acuerdo Gubernativo Número 85-2011, Reglamento de la Ley de Armas y Municiones, Decreto Número 15-2009</w:t>
            </w:r>
          </w:p>
        </w:tc>
      </w:tr>
      <w:tr w:rsidR="00603656" w:rsidRPr="00603656" w:rsidTr="00603656">
        <w:trPr>
          <w:trHeight w:val="288"/>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Acuerdo Gubernativo Número C.M.15-69, de la Oficina Nacional del Servicio Civil.</w:t>
            </w:r>
          </w:p>
        </w:tc>
      </w:tr>
      <w:tr w:rsidR="00603656" w:rsidRPr="00603656" w:rsidTr="00603656">
        <w:trPr>
          <w:trHeight w:val="576"/>
        </w:trPr>
        <w:tc>
          <w:tcPr>
            <w:tcW w:w="0" w:type="auto"/>
            <w:shd w:val="clear" w:color="auto" w:fill="auto"/>
            <w:vAlign w:val="bottom"/>
            <w:hideMark/>
          </w:tcPr>
          <w:p w:rsidR="00603656" w:rsidRPr="00603656" w:rsidRDefault="00603656" w:rsidP="00603656">
            <w:pPr>
              <w:spacing w:after="0"/>
              <w:rPr>
                <w:rFonts w:ascii="Calibri" w:eastAsia="Times New Roman" w:hAnsi="Calibri" w:cs="Times New Roman"/>
                <w:color w:val="000000"/>
                <w:sz w:val="22"/>
                <w:szCs w:val="22"/>
                <w:lang w:val="es-419"/>
              </w:rPr>
            </w:pPr>
            <w:r w:rsidRPr="00603656">
              <w:rPr>
                <w:rFonts w:ascii="Calibri" w:eastAsia="Times New Roman" w:hAnsi="Calibri" w:cs="Times New Roman"/>
                <w:color w:val="000000"/>
                <w:sz w:val="22"/>
                <w:szCs w:val="22"/>
                <w:lang w:val="es-419"/>
              </w:rPr>
              <w:t>Circular conjunta entre el MINFIN ONSEC Y CGC, Normas para la Contratación de Servicios técnicos y profesionales con cargo al Renglón Presupuestario 029 "Otras Remuneraciones de Personal Temporal".</w:t>
            </w:r>
          </w:p>
        </w:tc>
      </w:tr>
    </w:tbl>
    <w:p w:rsidR="007B1435" w:rsidRDefault="007B1435" w:rsidP="001C0363">
      <w:pPr>
        <w:spacing w:after="0"/>
        <w:ind w:left="4320"/>
        <w:jc w:val="right"/>
        <w:rPr>
          <w:rFonts w:ascii="Century Gothic" w:hAnsi="Century Gothic" w:cs="Arial"/>
          <w:noProof/>
          <w:sz w:val="20"/>
          <w:szCs w:val="20"/>
        </w:rPr>
      </w:pPr>
    </w:p>
    <w:p w:rsidR="0030031A" w:rsidRDefault="0030031A" w:rsidP="001C0363">
      <w:pPr>
        <w:spacing w:after="0"/>
        <w:ind w:left="4320"/>
        <w:jc w:val="right"/>
        <w:rPr>
          <w:rFonts w:ascii="Century Gothic" w:hAnsi="Century Gothic" w:cs="Arial"/>
          <w:noProof/>
          <w:sz w:val="20"/>
          <w:szCs w:val="20"/>
          <w:lang w:val="es-ES"/>
        </w:rPr>
      </w:pPr>
    </w:p>
    <w:sectPr w:rsidR="0030031A" w:rsidSect="008F638F">
      <w:type w:val="continuous"/>
      <w:pgSz w:w="12242" w:h="18722" w:code="193"/>
      <w:pgMar w:top="1985" w:right="1797" w:bottom="2268" w:left="1797" w:header="709" w:footer="709" w:gutter="0"/>
      <w:pgNumType w:start="1"/>
      <w:cols w:space="708"/>
      <w:formProt w:val="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5AA5" w:rsidRDefault="00F35AA5">
      <w:pPr>
        <w:spacing w:after="0"/>
      </w:pPr>
      <w:r>
        <w:separator/>
      </w:r>
    </w:p>
  </w:endnote>
  <w:endnote w:type="continuationSeparator" w:id="0">
    <w:p w:rsidR="00F35AA5" w:rsidRDefault="00F35A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147" w:rsidRPr="00DB4AA9" w:rsidRDefault="00910147" w:rsidP="00DB4AA9">
    <w:pPr>
      <w:pStyle w:val="Piedepgina"/>
      <w:framePr w:w="1066" w:h="346" w:hRule="exact" w:wrap="notBeside" w:vAnchor="text" w:hAnchor="page" w:x="10439" w:y="-90"/>
      <w:jc w:val="center"/>
      <w:rPr>
        <w:rStyle w:val="Nmerodepgina"/>
      </w:rPr>
    </w:pPr>
    <w:r w:rsidRPr="00DB4AA9">
      <w:rPr>
        <w:rStyle w:val="Nmerodepgina"/>
        <w:rFonts w:asciiTheme="majorHAnsi" w:hAnsiTheme="majorHAnsi"/>
        <w:sz w:val="20"/>
      </w:rPr>
      <w:fldChar w:fldCharType="begin"/>
    </w:r>
    <w:r w:rsidRPr="00DB4AA9">
      <w:rPr>
        <w:rStyle w:val="Nmerodepgina"/>
        <w:rFonts w:asciiTheme="majorHAnsi" w:hAnsiTheme="majorHAnsi"/>
        <w:sz w:val="20"/>
      </w:rPr>
      <w:instrText xml:space="preserve">PAGE  </w:instrText>
    </w:r>
    <w:r w:rsidRPr="00DB4AA9">
      <w:rPr>
        <w:rStyle w:val="Nmerodepgina"/>
        <w:rFonts w:asciiTheme="majorHAnsi" w:hAnsiTheme="majorHAnsi"/>
        <w:sz w:val="20"/>
      </w:rPr>
      <w:fldChar w:fldCharType="separate"/>
    </w:r>
    <w:r>
      <w:rPr>
        <w:rStyle w:val="Nmerodepgina"/>
        <w:rFonts w:asciiTheme="majorHAnsi" w:hAnsiTheme="majorHAnsi"/>
        <w:noProof/>
        <w:sz w:val="20"/>
      </w:rPr>
      <w:t>2</w:t>
    </w:r>
    <w:r w:rsidRPr="00DB4AA9">
      <w:rPr>
        <w:rStyle w:val="Nmerodepgina"/>
        <w:rFonts w:asciiTheme="majorHAnsi" w:hAnsiTheme="majorHAnsi"/>
        <w:sz w:val="20"/>
      </w:rPr>
      <w:fldChar w:fldCharType="end"/>
    </w:r>
  </w:p>
  <w:p w:rsidR="00910147" w:rsidRDefault="00910147" w:rsidP="00DB4AA9">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147" w:rsidRPr="00DB4AA9" w:rsidRDefault="00910147" w:rsidP="00DB4AA9">
    <w:pPr>
      <w:pStyle w:val="Piedepgina"/>
      <w:framePr w:w="1066" w:h="346" w:hRule="exact" w:wrap="notBeside" w:vAnchor="text" w:hAnchor="page" w:x="10439" w:y="-90"/>
      <w:jc w:val="center"/>
      <w:rPr>
        <w:rStyle w:val="Nmerodepgina"/>
      </w:rPr>
    </w:pPr>
    <w:r w:rsidRPr="00DB4AA9">
      <w:rPr>
        <w:rStyle w:val="Nmerodepgina"/>
        <w:rFonts w:asciiTheme="majorHAnsi" w:hAnsiTheme="majorHAnsi"/>
        <w:sz w:val="20"/>
      </w:rPr>
      <w:fldChar w:fldCharType="begin"/>
    </w:r>
    <w:r w:rsidRPr="00DB4AA9">
      <w:rPr>
        <w:rStyle w:val="Nmerodepgina"/>
        <w:rFonts w:asciiTheme="majorHAnsi" w:hAnsiTheme="majorHAnsi"/>
        <w:sz w:val="20"/>
      </w:rPr>
      <w:instrText xml:space="preserve">PAGE  </w:instrText>
    </w:r>
    <w:r w:rsidRPr="00DB4AA9">
      <w:rPr>
        <w:rStyle w:val="Nmerodepgina"/>
        <w:rFonts w:asciiTheme="majorHAnsi" w:hAnsiTheme="majorHAnsi"/>
        <w:sz w:val="20"/>
      </w:rPr>
      <w:fldChar w:fldCharType="separate"/>
    </w:r>
    <w:r w:rsidR="00603656">
      <w:rPr>
        <w:rStyle w:val="Nmerodepgina"/>
        <w:rFonts w:asciiTheme="majorHAnsi" w:hAnsiTheme="majorHAnsi"/>
        <w:noProof/>
        <w:sz w:val="20"/>
      </w:rPr>
      <w:t>1</w:t>
    </w:r>
    <w:r w:rsidRPr="00DB4AA9">
      <w:rPr>
        <w:rStyle w:val="Nmerodepgina"/>
        <w:rFonts w:asciiTheme="majorHAnsi" w:hAnsiTheme="majorHAnsi"/>
        <w:sz w:val="20"/>
      </w:rPr>
      <w:fldChar w:fldCharType="end"/>
    </w:r>
  </w:p>
  <w:p w:rsidR="00910147" w:rsidRDefault="00910147" w:rsidP="00DB4AA9">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5AA5" w:rsidRDefault="00F35AA5">
      <w:pPr>
        <w:spacing w:after="0"/>
      </w:pPr>
      <w:r>
        <w:separator/>
      </w:r>
    </w:p>
  </w:footnote>
  <w:footnote w:type="continuationSeparator" w:id="0">
    <w:p w:rsidR="00F35AA5" w:rsidRDefault="00F35AA5">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147" w:rsidRDefault="00910147">
    <w:pPr>
      <w:pStyle w:val="Encabezado"/>
    </w:pPr>
    <w:r>
      <w:rPr>
        <w:noProof/>
        <w:lang w:val="en-US"/>
      </w:rPr>
      <w:drawing>
        <wp:anchor distT="0" distB="0" distL="114300" distR="114300" simplePos="0" relativeHeight="251665408" behindDoc="1" locked="0" layoutInCell="1" allowOverlap="1">
          <wp:simplePos x="0" y="0"/>
          <wp:positionH relativeFrom="column">
            <wp:posOffset>-1143000</wp:posOffset>
          </wp:positionH>
          <wp:positionV relativeFrom="paragraph">
            <wp:posOffset>-449580</wp:posOffset>
          </wp:positionV>
          <wp:extent cx="7780136" cy="11887200"/>
          <wp:effectExtent l="25400" t="0" r="0" b="0"/>
          <wp:wrapNone/>
          <wp:docPr id="2" name="Picture 1" descr="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2.jpg"/>
                  <pic:cNvPicPr/>
                </pic:nvPicPr>
                <pic:blipFill>
                  <a:blip r:embed="rId1"/>
                  <a:stretch>
                    <a:fillRect/>
                  </a:stretch>
                </pic:blipFill>
                <pic:spPr>
                  <a:xfrm>
                    <a:off x="0" y="0"/>
                    <a:ext cx="7780136" cy="118872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147" w:rsidRDefault="00910147">
    <w:pPr>
      <w:pStyle w:val="Encabezado"/>
    </w:pPr>
    <w:r>
      <w:rPr>
        <w:noProof/>
        <w:lang w:val="en-US"/>
      </w:rPr>
      <w:drawing>
        <wp:anchor distT="0" distB="0" distL="114300" distR="114300" simplePos="0" relativeHeight="251666432" behindDoc="1" locked="0" layoutInCell="1" allowOverlap="1">
          <wp:simplePos x="0" y="0"/>
          <wp:positionH relativeFrom="page">
            <wp:align>left</wp:align>
          </wp:positionH>
          <wp:positionV relativeFrom="paragraph">
            <wp:posOffset>-450215</wp:posOffset>
          </wp:positionV>
          <wp:extent cx="7762875" cy="1187231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aOFICIOnegro-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7345" cy="11879152"/>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147" w:rsidRDefault="00910147">
    <w:pPr>
      <w:pStyle w:val="Encabezado"/>
    </w:pPr>
    <w:r>
      <w:rPr>
        <w:noProof/>
        <w:lang w:val="en-US"/>
      </w:rPr>
      <w:drawing>
        <wp:anchor distT="0" distB="0" distL="114300" distR="114300" simplePos="0" relativeHeight="251659264" behindDoc="1" locked="0" layoutInCell="1" allowOverlap="1">
          <wp:simplePos x="0" y="0"/>
          <wp:positionH relativeFrom="column">
            <wp:posOffset>-1143000</wp:posOffset>
          </wp:positionH>
          <wp:positionV relativeFrom="paragraph">
            <wp:posOffset>-449580</wp:posOffset>
          </wp:positionV>
          <wp:extent cx="7773218" cy="10058400"/>
          <wp:effectExtent l="25400" t="0" r="0" b="0"/>
          <wp:wrapNone/>
          <wp:docPr id="4" name="Imagen 4" descr="1-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01.jpg"/>
                  <pic:cNvPicPr/>
                </pic:nvPicPr>
                <pic:blipFill>
                  <a:blip r:embed="rId1"/>
                  <a:stretch>
                    <a:fillRect/>
                  </a:stretch>
                </pic:blipFill>
                <pic:spPr>
                  <a:xfrm>
                    <a:off x="0" y="0"/>
                    <a:ext cx="7773218" cy="10058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30161F"/>
    <w:multiLevelType w:val="multilevel"/>
    <w:tmpl w:val="D7BE5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066E6B"/>
    <w:multiLevelType w:val="multilevel"/>
    <w:tmpl w:val="873EE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904E94"/>
    <w:multiLevelType w:val="multilevel"/>
    <w:tmpl w:val="B39CF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ocumentProtection w:edit="forms" w:enforcement="1"/>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DE4"/>
    <w:rsid w:val="00001124"/>
    <w:rsid w:val="000045C4"/>
    <w:rsid w:val="00012F43"/>
    <w:rsid w:val="00013627"/>
    <w:rsid w:val="000172AE"/>
    <w:rsid w:val="000175BD"/>
    <w:rsid w:val="00017A4B"/>
    <w:rsid w:val="00036096"/>
    <w:rsid w:val="00036B86"/>
    <w:rsid w:val="000448DC"/>
    <w:rsid w:val="000461FF"/>
    <w:rsid w:val="00050997"/>
    <w:rsid w:val="00054D27"/>
    <w:rsid w:val="00057146"/>
    <w:rsid w:val="00060173"/>
    <w:rsid w:val="00075361"/>
    <w:rsid w:val="00077317"/>
    <w:rsid w:val="00087EC0"/>
    <w:rsid w:val="0009161F"/>
    <w:rsid w:val="000961FC"/>
    <w:rsid w:val="00097230"/>
    <w:rsid w:val="000A086F"/>
    <w:rsid w:val="000A5E72"/>
    <w:rsid w:val="000C1A42"/>
    <w:rsid w:val="000C57F0"/>
    <w:rsid w:val="000C7DEC"/>
    <w:rsid w:val="000D51F7"/>
    <w:rsid w:val="000D5298"/>
    <w:rsid w:val="000E0509"/>
    <w:rsid w:val="000E6D33"/>
    <w:rsid w:val="000F2ECE"/>
    <w:rsid w:val="000F418E"/>
    <w:rsid w:val="000F738E"/>
    <w:rsid w:val="001127BF"/>
    <w:rsid w:val="00130761"/>
    <w:rsid w:val="0013644E"/>
    <w:rsid w:val="00137C6D"/>
    <w:rsid w:val="001473CC"/>
    <w:rsid w:val="001473F9"/>
    <w:rsid w:val="00155BCD"/>
    <w:rsid w:val="0015662E"/>
    <w:rsid w:val="0016399A"/>
    <w:rsid w:val="0016419C"/>
    <w:rsid w:val="00166FDC"/>
    <w:rsid w:val="00170359"/>
    <w:rsid w:val="00172D87"/>
    <w:rsid w:val="00184CA2"/>
    <w:rsid w:val="00184CD7"/>
    <w:rsid w:val="00185FB0"/>
    <w:rsid w:val="00191B39"/>
    <w:rsid w:val="00192520"/>
    <w:rsid w:val="00193B73"/>
    <w:rsid w:val="001962B7"/>
    <w:rsid w:val="001A0612"/>
    <w:rsid w:val="001B18C1"/>
    <w:rsid w:val="001B4D55"/>
    <w:rsid w:val="001B5CE0"/>
    <w:rsid w:val="001C0363"/>
    <w:rsid w:val="001C255F"/>
    <w:rsid w:val="001C7415"/>
    <w:rsid w:val="001E0817"/>
    <w:rsid w:val="001E3101"/>
    <w:rsid w:val="001E48F8"/>
    <w:rsid w:val="001E55A7"/>
    <w:rsid w:val="001F0393"/>
    <w:rsid w:val="001F4E07"/>
    <w:rsid w:val="001F6DA0"/>
    <w:rsid w:val="002113B3"/>
    <w:rsid w:val="00213818"/>
    <w:rsid w:val="00217219"/>
    <w:rsid w:val="00217D3D"/>
    <w:rsid w:val="00217F50"/>
    <w:rsid w:val="00221A84"/>
    <w:rsid w:val="00234180"/>
    <w:rsid w:val="00237CC3"/>
    <w:rsid w:val="00244BBF"/>
    <w:rsid w:val="00247193"/>
    <w:rsid w:val="00252409"/>
    <w:rsid w:val="002541D7"/>
    <w:rsid w:val="00266E1B"/>
    <w:rsid w:val="00270DB8"/>
    <w:rsid w:val="00271396"/>
    <w:rsid w:val="00271550"/>
    <w:rsid w:val="00284711"/>
    <w:rsid w:val="002942AD"/>
    <w:rsid w:val="00297085"/>
    <w:rsid w:val="002A0269"/>
    <w:rsid w:val="002A7BA4"/>
    <w:rsid w:val="002B016A"/>
    <w:rsid w:val="002B19BF"/>
    <w:rsid w:val="002B3CA2"/>
    <w:rsid w:val="002B75B9"/>
    <w:rsid w:val="002B7D9B"/>
    <w:rsid w:val="002D1879"/>
    <w:rsid w:val="002D6170"/>
    <w:rsid w:val="002E63E3"/>
    <w:rsid w:val="002F41DF"/>
    <w:rsid w:val="002F58CF"/>
    <w:rsid w:val="0030031A"/>
    <w:rsid w:val="00305537"/>
    <w:rsid w:val="003120BE"/>
    <w:rsid w:val="003206AC"/>
    <w:rsid w:val="003231BB"/>
    <w:rsid w:val="00327501"/>
    <w:rsid w:val="00341AB1"/>
    <w:rsid w:val="003441E0"/>
    <w:rsid w:val="003446EC"/>
    <w:rsid w:val="00345041"/>
    <w:rsid w:val="0035737E"/>
    <w:rsid w:val="0036037E"/>
    <w:rsid w:val="00361211"/>
    <w:rsid w:val="0037026A"/>
    <w:rsid w:val="00382191"/>
    <w:rsid w:val="003827B5"/>
    <w:rsid w:val="00382E23"/>
    <w:rsid w:val="00384FBF"/>
    <w:rsid w:val="003A1C6D"/>
    <w:rsid w:val="003A2876"/>
    <w:rsid w:val="003A48CE"/>
    <w:rsid w:val="003B0D06"/>
    <w:rsid w:val="003C0861"/>
    <w:rsid w:val="003C43A7"/>
    <w:rsid w:val="003C492A"/>
    <w:rsid w:val="003C4E22"/>
    <w:rsid w:val="003C71EE"/>
    <w:rsid w:val="003C7574"/>
    <w:rsid w:val="003D02E1"/>
    <w:rsid w:val="003D119D"/>
    <w:rsid w:val="003D1BD2"/>
    <w:rsid w:val="003E218B"/>
    <w:rsid w:val="003F4DDF"/>
    <w:rsid w:val="003F5EA8"/>
    <w:rsid w:val="00432114"/>
    <w:rsid w:val="00432C33"/>
    <w:rsid w:val="004443DA"/>
    <w:rsid w:val="004541A8"/>
    <w:rsid w:val="00454D03"/>
    <w:rsid w:val="0045790F"/>
    <w:rsid w:val="00471DB9"/>
    <w:rsid w:val="0047287E"/>
    <w:rsid w:val="00487267"/>
    <w:rsid w:val="00490850"/>
    <w:rsid w:val="00490DE4"/>
    <w:rsid w:val="00495C80"/>
    <w:rsid w:val="004A0821"/>
    <w:rsid w:val="004A608A"/>
    <w:rsid w:val="004B1C59"/>
    <w:rsid w:val="004B2C80"/>
    <w:rsid w:val="004B2F55"/>
    <w:rsid w:val="004B358C"/>
    <w:rsid w:val="004C22AB"/>
    <w:rsid w:val="004D1890"/>
    <w:rsid w:val="004D2863"/>
    <w:rsid w:val="004E4FD5"/>
    <w:rsid w:val="004E6B81"/>
    <w:rsid w:val="004F24F4"/>
    <w:rsid w:val="004F2A09"/>
    <w:rsid w:val="0050430C"/>
    <w:rsid w:val="00517289"/>
    <w:rsid w:val="0051755C"/>
    <w:rsid w:val="00526D27"/>
    <w:rsid w:val="0053187F"/>
    <w:rsid w:val="00532843"/>
    <w:rsid w:val="00533A01"/>
    <w:rsid w:val="00542752"/>
    <w:rsid w:val="00544856"/>
    <w:rsid w:val="0054787E"/>
    <w:rsid w:val="00554D5E"/>
    <w:rsid w:val="00572503"/>
    <w:rsid w:val="005865EA"/>
    <w:rsid w:val="005937DD"/>
    <w:rsid w:val="005947A7"/>
    <w:rsid w:val="00595C3B"/>
    <w:rsid w:val="005A022D"/>
    <w:rsid w:val="005A0C31"/>
    <w:rsid w:val="005A4B1D"/>
    <w:rsid w:val="005A5409"/>
    <w:rsid w:val="005A688F"/>
    <w:rsid w:val="005A7D02"/>
    <w:rsid w:val="005B01D8"/>
    <w:rsid w:val="005B0EA8"/>
    <w:rsid w:val="005B2268"/>
    <w:rsid w:val="005B4697"/>
    <w:rsid w:val="005C0EE4"/>
    <w:rsid w:val="005C27D4"/>
    <w:rsid w:val="005C7B9D"/>
    <w:rsid w:val="005D574F"/>
    <w:rsid w:val="005D6892"/>
    <w:rsid w:val="005D7A81"/>
    <w:rsid w:val="005E10E5"/>
    <w:rsid w:val="005E4DFB"/>
    <w:rsid w:val="005F031A"/>
    <w:rsid w:val="005F152A"/>
    <w:rsid w:val="005F2598"/>
    <w:rsid w:val="00603656"/>
    <w:rsid w:val="00604810"/>
    <w:rsid w:val="00611639"/>
    <w:rsid w:val="0061226C"/>
    <w:rsid w:val="00613B99"/>
    <w:rsid w:val="00615D22"/>
    <w:rsid w:val="00616A47"/>
    <w:rsid w:val="0061746D"/>
    <w:rsid w:val="00617ADD"/>
    <w:rsid w:val="0062344C"/>
    <w:rsid w:val="00631CB5"/>
    <w:rsid w:val="00640353"/>
    <w:rsid w:val="00646737"/>
    <w:rsid w:val="0065396D"/>
    <w:rsid w:val="006741BA"/>
    <w:rsid w:val="006765AE"/>
    <w:rsid w:val="0068020F"/>
    <w:rsid w:val="00683E0B"/>
    <w:rsid w:val="006875FE"/>
    <w:rsid w:val="00697849"/>
    <w:rsid w:val="00697B4B"/>
    <w:rsid w:val="006C0E1C"/>
    <w:rsid w:val="006D3DED"/>
    <w:rsid w:val="006E152A"/>
    <w:rsid w:val="006F3748"/>
    <w:rsid w:val="006F375D"/>
    <w:rsid w:val="00701268"/>
    <w:rsid w:val="00702892"/>
    <w:rsid w:val="00704987"/>
    <w:rsid w:val="00704C2E"/>
    <w:rsid w:val="00706855"/>
    <w:rsid w:val="00706E90"/>
    <w:rsid w:val="0072168A"/>
    <w:rsid w:val="00721A13"/>
    <w:rsid w:val="007256B4"/>
    <w:rsid w:val="007349F2"/>
    <w:rsid w:val="00734D73"/>
    <w:rsid w:val="0074060A"/>
    <w:rsid w:val="00743C94"/>
    <w:rsid w:val="0075062C"/>
    <w:rsid w:val="007562B8"/>
    <w:rsid w:val="00756CAC"/>
    <w:rsid w:val="00761A02"/>
    <w:rsid w:val="007707E0"/>
    <w:rsid w:val="0077755C"/>
    <w:rsid w:val="00780245"/>
    <w:rsid w:val="00783BEB"/>
    <w:rsid w:val="0079064C"/>
    <w:rsid w:val="00795643"/>
    <w:rsid w:val="00797530"/>
    <w:rsid w:val="007A20DC"/>
    <w:rsid w:val="007A27BC"/>
    <w:rsid w:val="007B1435"/>
    <w:rsid w:val="007B6105"/>
    <w:rsid w:val="007B7BF1"/>
    <w:rsid w:val="007C121F"/>
    <w:rsid w:val="007C1F2B"/>
    <w:rsid w:val="007C6BDC"/>
    <w:rsid w:val="007C6EB9"/>
    <w:rsid w:val="007D0390"/>
    <w:rsid w:val="007D1161"/>
    <w:rsid w:val="007D349D"/>
    <w:rsid w:val="007E465D"/>
    <w:rsid w:val="007E79D8"/>
    <w:rsid w:val="007F4222"/>
    <w:rsid w:val="007F4BAF"/>
    <w:rsid w:val="007F7393"/>
    <w:rsid w:val="007F745E"/>
    <w:rsid w:val="007F7DAE"/>
    <w:rsid w:val="00804878"/>
    <w:rsid w:val="00810C15"/>
    <w:rsid w:val="008136CC"/>
    <w:rsid w:val="00815F1D"/>
    <w:rsid w:val="0081612D"/>
    <w:rsid w:val="008223C2"/>
    <w:rsid w:val="00823953"/>
    <w:rsid w:val="0082434C"/>
    <w:rsid w:val="00831E60"/>
    <w:rsid w:val="0083577E"/>
    <w:rsid w:val="008428B9"/>
    <w:rsid w:val="00844ACC"/>
    <w:rsid w:val="008462A5"/>
    <w:rsid w:val="00846432"/>
    <w:rsid w:val="008466FC"/>
    <w:rsid w:val="00846F38"/>
    <w:rsid w:val="008615EE"/>
    <w:rsid w:val="00861BDD"/>
    <w:rsid w:val="008637E3"/>
    <w:rsid w:val="0086755D"/>
    <w:rsid w:val="00872306"/>
    <w:rsid w:val="00873D01"/>
    <w:rsid w:val="0087526C"/>
    <w:rsid w:val="0088305B"/>
    <w:rsid w:val="00883735"/>
    <w:rsid w:val="0088688E"/>
    <w:rsid w:val="00896083"/>
    <w:rsid w:val="008A0C17"/>
    <w:rsid w:val="008A7533"/>
    <w:rsid w:val="008C17B1"/>
    <w:rsid w:val="008C1DF5"/>
    <w:rsid w:val="008C4A6D"/>
    <w:rsid w:val="008C4CAA"/>
    <w:rsid w:val="008D279E"/>
    <w:rsid w:val="008E5729"/>
    <w:rsid w:val="008F425A"/>
    <w:rsid w:val="008F638F"/>
    <w:rsid w:val="008F7E6E"/>
    <w:rsid w:val="00901A81"/>
    <w:rsid w:val="00910147"/>
    <w:rsid w:val="00911F10"/>
    <w:rsid w:val="00917D85"/>
    <w:rsid w:val="00922705"/>
    <w:rsid w:val="00922E2E"/>
    <w:rsid w:val="00924DDB"/>
    <w:rsid w:val="00926772"/>
    <w:rsid w:val="00930899"/>
    <w:rsid w:val="0093661D"/>
    <w:rsid w:val="009455A4"/>
    <w:rsid w:val="0094701D"/>
    <w:rsid w:val="00947456"/>
    <w:rsid w:val="00950F05"/>
    <w:rsid w:val="00954087"/>
    <w:rsid w:val="0096291A"/>
    <w:rsid w:val="009663F1"/>
    <w:rsid w:val="00967798"/>
    <w:rsid w:val="009729E9"/>
    <w:rsid w:val="0097410E"/>
    <w:rsid w:val="00975088"/>
    <w:rsid w:val="00976B8E"/>
    <w:rsid w:val="00980023"/>
    <w:rsid w:val="00984327"/>
    <w:rsid w:val="00986B17"/>
    <w:rsid w:val="00993E39"/>
    <w:rsid w:val="009A2F3D"/>
    <w:rsid w:val="009A7A20"/>
    <w:rsid w:val="009B0724"/>
    <w:rsid w:val="009B2B1B"/>
    <w:rsid w:val="009B2B79"/>
    <w:rsid w:val="009B48C6"/>
    <w:rsid w:val="009C0399"/>
    <w:rsid w:val="009D44A3"/>
    <w:rsid w:val="009D52EF"/>
    <w:rsid w:val="009D59EB"/>
    <w:rsid w:val="009D67F3"/>
    <w:rsid w:val="009E19A1"/>
    <w:rsid w:val="009E23FE"/>
    <w:rsid w:val="009E3109"/>
    <w:rsid w:val="009E5781"/>
    <w:rsid w:val="009E6185"/>
    <w:rsid w:val="009F7B64"/>
    <w:rsid w:val="00A237D4"/>
    <w:rsid w:val="00A275E8"/>
    <w:rsid w:val="00A335D1"/>
    <w:rsid w:val="00A40C87"/>
    <w:rsid w:val="00A43515"/>
    <w:rsid w:val="00A4547D"/>
    <w:rsid w:val="00A4635A"/>
    <w:rsid w:val="00A464C8"/>
    <w:rsid w:val="00A47A67"/>
    <w:rsid w:val="00A5453B"/>
    <w:rsid w:val="00A60718"/>
    <w:rsid w:val="00A626AE"/>
    <w:rsid w:val="00A6529D"/>
    <w:rsid w:val="00A70E9B"/>
    <w:rsid w:val="00A7340E"/>
    <w:rsid w:val="00A744E7"/>
    <w:rsid w:val="00A82195"/>
    <w:rsid w:val="00A90583"/>
    <w:rsid w:val="00A925EC"/>
    <w:rsid w:val="00AA16E2"/>
    <w:rsid w:val="00AA5FB9"/>
    <w:rsid w:val="00AA7634"/>
    <w:rsid w:val="00AB5B1C"/>
    <w:rsid w:val="00AB6535"/>
    <w:rsid w:val="00AC11ED"/>
    <w:rsid w:val="00AC3615"/>
    <w:rsid w:val="00AC42CE"/>
    <w:rsid w:val="00AC5638"/>
    <w:rsid w:val="00AC6EF8"/>
    <w:rsid w:val="00AD0E14"/>
    <w:rsid w:val="00AD1B86"/>
    <w:rsid w:val="00AD5C8D"/>
    <w:rsid w:val="00AD67FB"/>
    <w:rsid w:val="00AD78A4"/>
    <w:rsid w:val="00AE21C0"/>
    <w:rsid w:val="00AE24B6"/>
    <w:rsid w:val="00AF4DF9"/>
    <w:rsid w:val="00B043A8"/>
    <w:rsid w:val="00B100C2"/>
    <w:rsid w:val="00B12CAD"/>
    <w:rsid w:val="00B225E4"/>
    <w:rsid w:val="00B22A03"/>
    <w:rsid w:val="00B26A15"/>
    <w:rsid w:val="00B276F7"/>
    <w:rsid w:val="00B30269"/>
    <w:rsid w:val="00B45992"/>
    <w:rsid w:val="00B54281"/>
    <w:rsid w:val="00B55C57"/>
    <w:rsid w:val="00B55DE8"/>
    <w:rsid w:val="00B57394"/>
    <w:rsid w:val="00B61912"/>
    <w:rsid w:val="00B61B91"/>
    <w:rsid w:val="00B62FAC"/>
    <w:rsid w:val="00B6520E"/>
    <w:rsid w:val="00B65919"/>
    <w:rsid w:val="00B67ECB"/>
    <w:rsid w:val="00B7733C"/>
    <w:rsid w:val="00B77A36"/>
    <w:rsid w:val="00B80D3D"/>
    <w:rsid w:val="00B83736"/>
    <w:rsid w:val="00B87BC2"/>
    <w:rsid w:val="00B929DE"/>
    <w:rsid w:val="00B93FEE"/>
    <w:rsid w:val="00B9633B"/>
    <w:rsid w:val="00BA2F88"/>
    <w:rsid w:val="00BB303C"/>
    <w:rsid w:val="00BC1069"/>
    <w:rsid w:val="00BC2105"/>
    <w:rsid w:val="00BE0F2B"/>
    <w:rsid w:val="00BE2C02"/>
    <w:rsid w:val="00BE4891"/>
    <w:rsid w:val="00BF5104"/>
    <w:rsid w:val="00C127CE"/>
    <w:rsid w:val="00C21455"/>
    <w:rsid w:val="00C226E6"/>
    <w:rsid w:val="00C255EB"/>
    <w:rsid w:val="00C3102E"/>
    <w:rsid w:val="00C3255D"/>
    <w:rsid w:val="00C33A26"/>
    <w:rsid w:val="00C35B7C"/>
    <w:rsid w:val="00C40DEC"/>
    <w:rsid w:val="00C42C05"/>
    <w:rsid w:val="00C4497B"/>
    <w:rsid w:val="00C44AE3"/>
    <w:rsid w:val="00C501CC"/>
    <w:rsid w:val="00C55677"/>
    <w:rsid w:val="00C5588E"/>
    <w:rsid w:val="00C625E5"/>
    <w:rsid w:val="00C62AFF"/>
    <w:rsid w:val="00C66246"/>
    <w:rsid w:val="00C74D04"/>
    <w:rsid w:val="00C77F4F"/>
    <w:rsid w:val="00C80063"/>
    <w:rsid w:val="00C92C35"/>
    <w:rsid w:val="00C93129"/>
    <w:rsid w:val="00C96442"/>
    <w:rsid w:val="00CA0821"/>
    <w:rsid w:val="00CA3966"/>
    <w:rsid w:val="00CB2064"/>
    <w:rsid w:val="00CB3E95"/>
    <w:rsid w:val="00CB60BF"/>
    <w:rsid w:val="00CC0912"/>
    <w:rsid w:val="00CC1137"/>
    <w:rsid w:val="00CC4942"/>
    <w:rsid w:val="00CC62E2"/>
    <w:rsid w:val="00CD01BD"/>
    <w:rsid w:val="00CD1448"/>
    <w:rsid w:val="00CD6CB9"/>
    <w:rsid w:val="00CE18D5"/>
    <w:rsid w:val="00CE47AC"/>
    <w:rsid w:val="00CF0D27"/>
    <w:rsid w:val="00CF4414"/>
    <w:rsid w:val="00CF59C4"/>
    <w:rsid w:val="00CF5E50"/>
    <w:rsid w:val="00D01E32"/>
    <w:rsid w:val="00D02584"/>
    <w:rsid w:val="00D03EA0"/>
    <w:rsid w:val="00D170F3"/>
    <w:rsid w:val="00D2384B"/>
    <w:rsid w:val="00D31A74"/>
    <w:rsid w:val="00D413BA"/>
    <w:rsid w:val="00D4288C"/>
    <w:rsid w:val="00D43DEA"/>
    <w:rsid w:val="00D451A2"/>
    <w:rsid w:val="00D52E1B"/>
    <w:rsid w:val="00D56A74"/>
    <w:rsid w:val="00D71DFB"/>
    <w:rsid w:val="00D769DD"/>
    <w:rsid w:val="00D8092A"/>
    <w:rsid w:val="00D92586"/>
    <w:rsid w:val="00DA25AD"/>
    <w:rsid w:val="00DA5F9A"/>
    <w:rsid w:val="00DA7C6A"/>
    <w:rsid w:val="00DB1151"/>
    <w:rsid w:val="00DB1FE5"/>
    <w:rsid w:val="00DB4AA9"/>
    <w:rsid w:val="00DC1A6C"/>
    <w:rsid w:val="00DC3938"/>
    <w:rsid w:val="00DC5024"/>
    <w:rsid w:val="00DD3972"/>
    <w:rsid w:val="00DD4612"/>
    <w:rsid w:val="00DE225C"/>
    <w:rsid w:val="00DF0175"/>
    <w:rsid w:val="00DF1A91"/>
    <w:rsid w:val="00E02C86"/>
    <w:rsid w:val="00E033B3"/>
    <w:rsid w:val="00E0341E"/>
    <w:rsid w:val="00E05DB6"/>
    <w:rsid w:val="00E15D9A"/>
    <w:rsid w:val="00E22142"/>
    <w:rsid w:val="00E272B1"/>
    <w:rsid w:val="00E276A2"/>
    <w:rsid w:val="00E34C17"/>
    <w:rsid w:val="00E4285E"/>
    <w:rsid w:val="00E42BE0"/>
    <w:rsid w:val="00E47CFA"/>
    <w:rsid w:val="00E50562"/>
    <w:rsid w:val="00E5078A"/>
    <w:rsid w:val="00E56341"/>
    <w:rsid w:val="00E60092"/>
    <w:rsid w:val="00E63E94"/>
    <w:rsid w:val="00E706B4"/>
    <w:rsid w:val="00E90F6F"/>
    <w:rsid w:val="00E93937"/>
    <w:rsid w:val="00EB1A44"/>
    <w:rsid w:val="00EB29A5"/>
    <w:rsid w:val="00EB79F6"/>
    <w:rsid w:val="00EC17C0"/>
    <w:rsid w:val="00EC4DB1"/>
    <w:rsid w:val="00EC4FA6"/>
    <w:rsid w:val="00EC5CD7"/>
    <w:rsid w:val="00ED3237"/>
    <w:rsid w:val="00ED534D"/>
    <w:rsid w:val="00ED6BB7"/>
    <w:rsid w:val="00ED7D80"/>
    <w:rsid w:val="00EE2A3B"/>
    <w:rsid w:val="00EF6983"/>
    <w:rsid w:val="00F00718"/>
    <w:rsid w:val="00F03AA7"/>
    <w:rsid w:val="00F31007"/>
    <w:rsid w:val="00F3373D"/>
    <w:rsid w:val="00F35AA5"/>
    <w:rsid w:val="00F37CC3"/>
    <w:rsid w:val="00F4149A"/>
    <w:rsid w:val="00F4533E"/>
    <w:rsid w:val="00F544DE"/>
    <w:rsid w:val="00F61DAE"/>
    <w:rsid w:val="00F704C4"/>
    <w:rsid w:val="00F7692F"/>
    <w:rsid w:val="00F84F56"/>
    <w:rsid w:val="00F87670"/>
    <w:rsid w:val="00F9074B"/>
    <w:rsid w:val="00F91298"/>
    <w:rsid w:val="00FB16F5"/>
    <w:rsid w:val="00FB68E0"/>
    <w:rsid w:val="00FC5608"/>
    <w:rsid w:val="00FD6245"/>
    <w:rsid w:val="00FE2013"/>
    <w:rsid w:val="00FE261F"/>
    <w:rsid w:val="00FE4A1D"/>
    <w:rsid w:val="00FE65D6"/>
    <w:rsid w:val="00FF0D91"/>
    <w:rsid w:val="00FF0FE4"/>
    <w:rsid w:val="00FF1938"/>
    <w:rsid w:val="00FF58F9"/>
  </w:rsids>
  <m:mathPr>
    <m:mathFont m:val="Cambria Math"/>
    <m:brkBin m:val="before"/>
    <m:brkBinSub m:val="--"/>
    <m:smallFrac/>
    <m:dispDef/>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9AEDD3"/>
  <w15:docId w15:val="{C7E2BA24-19F9-42DA-86F0-482BCD5C6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1C8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90DE4"/>
    <w:pPr>
      <w:tabs>
        <w:tab w:val="center" w:pos="4320"/>
        <w:tab w:val="right" w:pos="8640"/>
      </w:tabs>
      <w:spacing w:after="0"/>
    </w:pPr>
  </w:style>
  <w:style w:type="character" w:customStyle="1" w:styleId="EncabezadoCar">
    <w:name w:val="Encabezado Car"/>
    <w:basedOn w:val="Fuentedeprrafopredeter"/>
    <w:link w:val="Encabezado"/>
    <w:rsid w:val="00490DE4"/>
  </w:style>
  <w:style w:type="paragraph" w:styleId="Piedepgina">
    <w:name w:val="footer"/>
    <w:basedOn w:val="Normal"/>
    <w:link w:val="PiedepginaCar"/>
    <w:uiPriority w:val="99"/>
    <w:unhideWhenUsed/>
    <w:rsid w:val="00490DE4"/>
    <w:pPr>
      <w:tabs>
        <w:tab w:val="center" w:pos="4320"/>
        <w:tab w:val="right" w:pos="8640"/>
      </w:tabs>
      <w:spacing w:after="0"/>
    </w:pPr>
  </w:style>
  <w:style w:type="character" w:customStyle="1" w:styleId="PiedepginaCar">
    <w:name w:val="Pie de página Car"/>
    <w:basedOn w:val="Fuentedeprrafopredeter"/>
    <w:link w:val="Piedepgina"/>
    <w:uiPriority w:val="99"/>
    <w:rsid w:val="00490DE4"/>
  </w:style>
  <w:style w:type="character" w:styleId="Nmerodepgina">
    <w:name w:val="page number"/>
    <w:basedOn w:val="Fuentedeprrafopredeter"/>
    <w:uiPriority w:val="99"/>
    <w:semiHidden/>
    <w:unhideWhenUsed/>
    <w:rsid w:val="00DB4AA9"/>
  </w:style>
  <w:style w:type="paragraph" w:styleId="Textodeglobo">
    <w:name w:val="Balloon Text"/>
    <w:basedOn w:val="Normal"/>
    <w:link w:val="TextodegloboCar"/>
    <w:uiPriority w:val="99"/>
    <w:semiHidden/>
    <w:unhideWhenUsed/>
    <w:rsid w:val="00954087"/>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087"/>
    <w:rPr>
      <w:rFonts w:ascii="Segoe UI" w:hAnsi="Segoe UI" w:cs="Segoe UI"/>
      <w:sz w:val="18"/>
      <w:szCs w:val="18"/>
    </w:rPr>
  </w:style>
  <w:style w:type="paragraph" w:styleId="NormalWeb">
    <w:name w:val="Normal (Web)"/>
    <w:basedOn w:val="Normal"/>
    <w:uiPriority w:val="99"/>
    <w:unhideWhenUsed/>
    <w:rsid w:val="00454D03"/>
    <w:pPr>
      <w:spacing w:before="100" w:beforeAutospacing="1" w:after="100" w:afterAutospacing="1"/>
    </w:pPr>
    <w:rPr>
      <w:rFonts w:ascii="Times New Roman" w:eastAsia="Times New Roman" w:hAnsi="Times New Roman" w:cs="Times New Roman"/>
      <w:lang w:val="es-GT" w:eastAsia="es-GT"/>
    </w:rPr>
  </w:style>
  <w:style w:type="paragraph" w:styleId="Textosinformato">
    <w:name w:val="Plain Text"/>
    <w:basedOn w:val="Normal"/>
    <w:link w:val="TextosinformatoCar"/>
    <w:uiPriority w:val="99"/>
    <w:unhideWhenUsed/>
    <w:rsid w:val="00454D03"/>
    <w:pPr>
      <w:spacing w:after="0"/>
    </w:pPr>
    <w:rPr>
      <w:rFonts w:ascii="Calibri" w:hAnsi="Calibri"/>
      <w:sz w:val="22"/>
      <w:szCs w:val="21"/>
      <w:lang w:val="es-GT"/>
    </w:rPr>
  </w:style>
  <w:style w:type="character" w:customStyle="1" w:styleId="TextosinformatoCar">
    <w:name w:val="Texto sin formato Car"/>
    <w:basedOn w:val="Fuentedeprrafopredeter"/>
    <w:link w:val="Textosinformato"/>
    <w:uiPriority w:val="99"/>
    <w:rsid w:val="00454D03"/>
    <w:rPr>
      <w:rFonts w:ascii="Calibri" w:hAnsi="Calibri"/>
      <w:sz w:val="22"/>
      <w:szCs w:val="21"/>
      <w:lang w:val="es-GT"/>
    </w:rPr>
  </w:style>
  <w:style w:type="character" w:styleId="Hipervnculo">
    <w:name w:val="Hyperlink"/>
    <w:basedOn w:val="Fuentedeprrafopredeter"/>
    <w:uiPriority w:val="99"/>
    <w:unhideWhenUsed/>
    <w:rsid w:val="00E276A2"/>
    <w:rPr>
      <w:color w:val="0000FF" w:themeColor="hyperlink"/>
      <w:u w:val="single"/>
    </w:rPr>
  </w:style>
  <w:style w:type="paragraph" w:customStyle="1" w:styleId="gmail-p1">
    <w:name w:val="gmail-p1"/>
    <w:basedOn w:val="Normal"/>
    <w:rsid w:val="009E5781"/>
    <w:pPr>
      <w:spacing w:before="100" w:beforeAutospacing="1" w:after="100" w:afterAutospacing="1"/>
    </w:pPr>
    <w:rPr>
      <w:rFonts w:ascii="Times New Roman" w:eastAsia="Times New Roman" w:hAnsi="Times New Roman" w:cs="Times New Roman"/>
      <w:lang w:val="es-ES" w:eastAsia="es-ES"/>
    </w:rPr>
  </w:style>
  <w:style w:type="character" w:customStyle="1" w:styleId="gmail-s1">
    <w:name w:val="gmail-s1"/>
    <w:basedOn w:val="Fuentedeprrafopredeter"/>
    <w:rsid w:val="009E5781"/>
  </w:style>
  <w:style w:type="character" w:customStyle="1" w:styleId="object">
    <w:name w:val="object"/>
    <w:basedOn w:val="Fuentedeprrafopredeter"/>
    <w:rsid w:val="009E5781"/>
  </w:style>
  <w:style w:type="character" w:customStyle="1" w:styleId="gmail-s2">
    <w:name w:val="gmail-s2"/>
    <w:basedOn w:val="Fuentedeprrafopredeter"/>
    <w:rsid w:val="009E5781"/>
  </w:style>
  <w:style w:type="character" w:customStyle="1" w:styleId="gmail-apple-converted-space">
    <w:name w:val="gmail-apple-converted-space"/>
    <w:basedOn w:val="Fuentedeprrafopredeter"/>
    <w:rsid w:val="009E5781"/>
  </w:style>
  <w:style w:type="paragraph" w:customStyle="1" w:styleId="gmail-p2">
    <w:name w:val="gmail-p2"/>
    <w:basedOn w:val="Normal"/>
    <w:rsid w:val="009E5781"/>
    <w:pPr>
      <w:spacing w:before="100" w:beforeAutospacing="1" w:after="100" w:afterAutospacing="1"/>
    </w:pPr>
    <w:rPr>
      <w:rFonts w:ascii="Times New Roman" w:eastAsia="Times New Roman" w:hAnsi="Times New Roman" w:cs="Times New Roman"/>
      <w:lang w:val="es-ES" w:eastAsia="es-ES"/>
    </w:rPr>
  </w:style>
  <w:style w:type="paragraph" w:customStyle="1" w:styleId="gmail-p3">
    <w:name w:val="gmail-p3"/>
    <w:basedOn w:val="Normal"/>
    <w:rsid w:val="009E5781"/>
    <w:pPr>
      <w:spacing w:before="100" w:beforeAutospacing="1" w:after="100" w:afterAutospacing="1"/>
    </w:pPr>
    <w:rPr>
      <w:rFonts w:ascii="Times New Roman" w:eastAsia="Times New Roman" w:hAnsi="Times New Roman"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482962">
      <w:bodyDiv w:val="1"/>
      <w:marLeft w:val="0"/>
      <w:marRight w:val="0"/>
      <w:marTop w:val="0"/>
      <w:marBottom w:val="0"/>
      <w:divBdr>
        <w:top w:val="none" w:sz="0" w:space="0" w:color="auto"/>
        <w:left w:val="none" w:sz="0" w:space="0" w:color="auto"/>
        <w:bottom w:val="none" w:sz="0" w:space="0" w:color="auto"/>
        <w:right w:val="none" w:sz="0" w:space="0" w:color="auto"/>
      </w:divBdr>
    </w:div>
    <w:div w:id="422651435">
      <w:bodyDiv w:val="1"/>
      <w:marLeft w:val="0"/>
      <w:marRight w:val="0"/>
      <w:marTop w:val="0"/>
      <w:marBottom w:val="0"/>
      <w:divBdr>
        <w:top w:val="none" w:sz="0" w:space="0" w:color="auto"/>
        <w:left w:val="none" w:sz="0" w:space="0" w:color="auto"/>
        <w:bottom w:val="none" w:sz="0" w:space="0" w:color="auto"/>
        <w:right w:val="none" w:sz="0" w:space="0" w:color="auto"/>
      </w:divBdr>
    </w:div>
    <w:div w:id="449860444">
      <w:bodyDiv w:val="1"/>
      <w:marLeft w:val="0"/>
      <w:marRight w:val="0"/>
      <w:marTop w:val="0"/>
      <w:marBottom w:val="0"/>
      <w:divBdr>
        <w:top w:val="none" w:sz="0" w:space="0" w:color="auto"/>
        <w:left w:val="none" w:sz="0" w:space="0" w:color="auto"/>
        <w:bottom w:val="none" w:sz="0" w:space="0" w:color="auto"/>
        <w:right w:val="none" w:sz="0" w:space="0" w:color="auto"/>
      </w:divBdr>
    </w:div>
    <w:div w:id="501743980">
      <w:bodyDiv w:val="1"/>
      <w:marLeft w:val="0"/>
      <w:marRight w:val="0"/>
      <w:marTop w:val="0"/>
      <w:marBottom w:val="0"/>
      <w:divBdr>
        <w:top w:val="none" w:sz="0" w:space="0" w:color="auto"/>
        <w:left w:val="none" w:sz="0" w:space="0" w:color="auto"/>
        <w:bottom w:val="none" w:sz="0" w:space="0" w:color="auto"/>
        <w:right w:val="none" w:sz="0" w:space="0" w:color="auto"/>
      </w:divBdr>
    </w:div>
    <w:div w:id="630210009">
      <w:bodyDiv w:val="1"/>
      <w:marLeft w:val="0"/>
      <w:marRight w:val="0"/>
      <w:marTop w:val="0"/>
      <w:marBottom w:val="0"/>
      <w:divBdr>
        <w:top w:val="none" w:sz="0" w:space="0" w:color="auto"/>
        <w:left w:val="none" w:sz="0" w:space="0" w:color="auto"/>
        <w:bottom w:val="none" w:sz="0" w:space="0" w:color="auto"/>
        <w:right w:val="none" w:sz="0" w:space="0" w:color="auto"/>
      </w:divBdr>
      <w:divsChild>
        <w:div w:id="537402100">
          <w:marLeft w:val="0"/>
          <w:marRight w:val="0"/>
          <w:marTop w:val="0"/>
          <w:marBottom w:val="0"/>
          <w:divBdr>
            <w:top w:val="none" w:sz="0" w:space="0" w:color="auto"/>
            <w:left w:val="none" w:sz="0" w:space="0" w:color="auto"/>
            <w:bottom w:val="none" w:sz="0" w:space="0" w:color="auto"/>
            <w:right w:val="none" w:sz="0" w:space="0" w:color="auto"/>
          </w:divBdr>
          <w:divsChild>
            <w:div w:id="115777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48586">
      <w:bodyDiv w:val="1"/>
      <w:marLeft w:val="0"/>
      <w:marRight w:val="0"/>
      <w:marTop w:val="0"/>
      <w:marBottom w:val="0"/>
      <w:divBdr>
        <w:top w:val="none" w:sz="0" w:space="0" w:color="auto"/>
        <w:left w:val="none" w:sz="0" w:space="0" w:color="auto"/>
        <w:bottom w:val="none" w:sz="0" w:space="0" w:color="auto"/>
        <w:right w:val="none" w:sz="0" w:space="0" w:color="auto"/>
      </w:divBdr>
    </w:div>
    <w:div w:id="1918009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ww.pdh.org.gt/transparencia/acuerdos-pdh.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1750</Words>
  <Characters>9978</Characters>
  <Application>Microsoft Office Word</Application>
  <DocSecurity>0</DocSecurity>
  <Lines>83</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Procuraduria de los Derechos Humanos</dc:creator>
  <cp:lastModifiedBy>allan eduardo jimene</cp:lastModifiedBy>
  <cp:revision>3</cp:revision>
  <cp:lastPrinted>2021-03-11T16:38:00Z</cp:lastPrinted>
  <dcterms:created xsi:type="dcterms:W3CDTF">2021-03-11T17:12:00Z</dcterms:created>
  <dcterms:modified xsi:type="dcterms:W3CDTF">2021-03-11T17:21:00Z</dcterms:modified>
</cp:coreProperties>
</file>