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9545BA" w:rsidRDefault="00F54E9A"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 xml:space="preserve">Informe de Supervisión de Portal Electrónico de la </w:t>
      </w:r>
      <w:r w:rsidRPr="00F54E9A">
        <w:rPr>
          <w:rFonts w:eastAsia="Times New Roman" w:cs="Times New Roman"/>
          <w:color w:val="17365D"/>
          <w:spacing w:val="5"/>
          <w:kern w:val="28"/>
          <w:sz w:val="40"/>
        </w:rPr>
        <w:t xml:space="preserve">Secretaría Ejecutiva </w:t>
      </w:r>
      <w:r>
        <w:rPr>
          <w:rFonts w:eastAsia="Times New Roman" w:cs="Times New Roman"/>
          <w:color w:val="17365D"/>
          <w:spacing w:val="5"/>
          <w:kern w:val="28"/>
          <w:sz w:val="40"/>
        </w:rPr>
        <w:t>d</w:t>
      </w:r>
      <w:r w:rsidRPr="00F54E9A">
        <w:rPr>
          <w:rFonts w:eastAsia="Times New Roman" w:cs="Times New Roman"/>
          <w:color w:val="17365D"/>
          <w:spacing w:val="5"/>
          <w:kern w:val="28"/>
          <w:sz w:val="40"/>
        </w:rPr>
        <w:t xml:space="preserve">e </w:t>
      </w:r>
      <w:r>
        <w:rPr>
          <w:rFonts w:eastAsia="Times New Roman" w:cs="Times New Roman"/>
          <w:color w:val="17365D"/>
          <w:spacing w:val="5"/>
          <w:kern w:val="28"/>
          <w:sz w:val="40"/>
        </w:rPr>
        <w:t>l</w:t>
      </w:r>
      <w:r w:rsidRPr="00F54E9A">
        <w:rPr>
          <w:rFonts w:eastAsia="Times New Roman" w:cs="Times New Roman"/>
          <w:color w:val="17365D"/>
          <w:spacing w:val="5"/>
          <w:kern w:val="28"/>
          <w:sz w:val="40"/>
        </w:rPr>
        <w:t xml:space="preserve">a Comisión </w:t>
      </w:r>
      <w:r>
        <w:rPr>
          <w:rFonts w:eastAsia="Times New Roman" w:cs="Times New Roman"/>
          <w:color w:val="17365D"/>
          <w:spacing w:val="5"/>
          <w:kern w:val="28"/>
          <w:sz w:val="40"/>
        </w:rPr>
        <w:t>C</w:t>
      </w:r>
      <w:r w:rsidRPr="00F54E9A">
        <w:rPr>
          <w:rFonts w:eastAsia="Times New Roman" w:cs="Times New Roman"/>
          <w:color w:val="17365D"/>
          <w:spacing w:val="5"/>
          <w:kern w:val="28"/>
          <w:sz w:val="40"/>
        </w:rPr>
        <w:t xml:space="preserve">ontra </w:t>
      </w:r>
      <w:r>
        <w:rPr>
          <w:rFonts w:eastAsia="Times New Roman" w:cs="Times New Roman"/>
          <w:color w:val="17365D"/>
          <w:spacing w:val="5"/>
          <w:kern w:val="28"/>
          <w:sz w:val="40"/>
        </w:rPr>
        <w:t>l</w:t>
      </w:r>
      <w:r w:rsidRPr="00F54E9A">
        <w:rPr>
          <w:rFonts w:eastAsia="Times New Roman" w:cs="Times New Roman"/>
          <w:color w:val="17365D"/>
          <w:spacing w:val="5"/>
          <w:kern w:val="28"/>
          <w:sz w:val="40"/>
        </w:rPr>
        <w:t xml:space="preserve">as Adicciones </w:t>
      </w:r>
      <w:r>
        <w:rPr>
          <w:rFonts w:eastAsia="Times New Roman" w:cs="Times New Roman"/>
          <w:color w:val="17365D"/>
          <w:spacing w:val="5"/>
          <w:kern w:val="28"/>
          <w:sz w:val="40"/>
        </w:rPr>
        <w:t>y e</w:t>
      </w:r>
      <w:r w:rsidRPr="00F54E9A">
        <w:rPr>
          <w:rFonts w:eastAsia="Times New Roman" w:cs="Times New Roman"/>
          <w:color w:val="17365D"/>
          <w:spacing w:val="5"/>
          <w:kern w:val="28"/>
          <w:sz w:val="40"/>
        </w:rPr>
        <w:t xml:space="preserve">l Tráfico Ilícito </w:t>
      </w:r>
      <w:r>
        <w:rPr>
          <w:rFonts w:eastAsia="Times New Roman" w:cs="Times New Roman"/>
          <w:color w:val="17365D"/>
          <w:spacing w:val="5"/>
          <w:kern w:val="28"/>
          <w:sz w:val="40"/>
        </w:rPr>
        <w:t>d</w:t>
      </w:r>
      <w:r w:rsidRPr="00F54E9A">
        <w:rPr>
          <w:rFonts w:eastAsia="Times New Roman" w:cs="Times New Roman"/>
          <w:color w:val="17365D"/>
          <w:spacing w:val="5"/>
          <w:kern w:val="28"/>
          <w:sz w:val="40"/>
        </w:rPr>
        <w:t>e Drogas</w:t>
      </w:r>
    </w:p>
    <w:p w:rsidR="00DB4824" w:rsidRDefault="00AF67EB"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-S</w:t>
      </w:r>
      <w:r w:rsidR="00F54E9A">
        <w:rPr>
          <w:rFonts w:eastAsia="Times New Roman" w:cs="Times New Roman"/>
          <w:color w:val="17365D"/>
          <w:spacing w:val="5"/>
          <w:kern w:val="28"/>
          <w:sz w:val="40"/>
        </w:rPr>
        <w:t>ECCATID</w:t>
      </w:r>
      <w:r w:rsidR="009545BA">
        <w:rPr>
          <w:rFonts w:eastAsia="Times New Roman" w:cs="Times New Roman"/>
          <w:color w:val="17365D"/>
          <w:spacing w:val="5"/>
          <w:kern w:val="28"/>
          <w:sz w:val="40"/>
        </w:rPr>
        <w:t>-</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Default="00173CB7" w:rsidP="009545BA">
      <w:pPr>
        <w:rPr>
          <w:sz w:val="100"/>
          <w:szCs w:val="100"/>
        </w:rPr>
      </w:pPr>
    </w:p>
    <w:p w:rsidR="00DE7B04" w:rsidRPr="00173CB7" w:rsidRDefault="00DE7B04" w:rsidP="00173CB7">
      <w:pPr>
        <w:jc w:val="center"/>
        <w:rPr>
          <w:sz w:val="100"/>
          <w:szCs w:val="100"/>
        </w:rPr>
      </w:pPr>
    </w:p>
    <w:p w:rsidR="00173CB7" w:rsidRPr="00173CB7" w:rsidRDefault="00173CB7" w:rsidP="00173CB7">
      <w:pPr>
        <w:jc w:val="right"/>
        <w:rPr>
          <w:sz w:val="36"/>
          <w:szCs w:val="100"/>
        </w:rPr>
      </w:pPr>
      <w:r w:rsidRPr="00173CB7">
        <w:rPr>
          <w:sz w:val="36"/>
          <w:szCs w:val="100"/>
        </w:rPr>
        <w:t xml:space="preserve">Guatemala, </w:t>
      </w:r>
      <w:r w:rsidR="00AF67EB">
        <w:rPr>
          <w:sz w:val="36"/>
          <w:szCs w:val="100"/>
        </w:rPr>
        <w:t>enero</w:t>
      </w:r>
      <w:r w:rsidR="00E455C0">
        <w:rPr>
          <w:sz w:val="36"/>
          <w:szCs w:val="100"/>
        </w:rPr>
        <w:t xml:space="preserve"> de 201</w:t>
      </w:r>
      <w:r w:rsidR="00AF67EB">
        <w:rPr>
          <w:sz w:val="36"/>
          <w:szCs w:val="100"/>
        </w:rPr>
        <w:t>9</w:t>
      </w:r>
    </w:p>
    <w:p w:rsidR="001E0E2F" w:rsidRDefault="001E0E2F"/>
    <w:p w:rsidR="001E0E2F" w:rsidRDefault="001E0E2F"/>
    <w:p w:rsidR="006265F6" w:rsidRDefault="006265F6"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TDC"/>
            <w:jc w:val="center"/>
          </w:pPr>
          <w:r>
            <w:rPr>
              <w:lang w:val="es-ES"/>
            </w:rPr>
            <w:t>Contenido</w:t>
          </w:r>
        </w:p>
        <w:p w:rsidR="00460FE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6435696" w:history="1">
            <w:r w:rsidR="00460FE1" w:rsidRPr="00BF3FC0">
              <w:rPr>
                <w:rStyle w:val="Hipervnculo"/>
                <w:rFonts w:asciiTheme="majorHAnsi" w:hAnsiTheme="majorHAnsi"/>
                <w:noProof/>
              </w:rPr>
              <w:t>Introducción</w:t>
            </w:r>
            <w:r w:rsidR="00460FE1">
              <w:rPr>
                <w:noProof/>
                <w:webHidden/>
              </w:rPr>
              <w:tab/>
            </w:r>
            <w:r w:rsidR="00460FE1">
              <w:rPr>
                <w:noProof/>
                <w:webHidden/>
              </w:rPr>
              <w:fldChar w:fldCharType="begin"/>
            </w:r>
            <w:r w:rsidR="00460FE1">
              <w:rPr>
                <w:noProof/>
                <w:webHidden/>
              </w:rPr>
              <w:instrText xml:space="preserve"> PAGEREF _Toc536435696 \h </w:instrText>
            </w:r>
            <w:r w:rsidR="00460FE1">
              <w:rPr>
                <w:noProof/>
                <w:webHidden/>
              </w:rPr>
            </w:r>
            <w:r w:rsidR="00460FE1">
              <w:rPr>
                <w:noProof/>
                <w:webHidden/>
              </w:rPr>
              <w:fldChar w:fldCharType="separate"/>
            </w:r>
            <w:r w:rsidR="00460FE1">
              <w:rPr>
                <w:noProof/>
                <w:webHidden/>
              </w:rPr>
              <w:t>2</w:t>
            </w:r>
            <w:r w:rsidR="00460FE1">
              <w:rPr>
                <w:noProof/>
                <w:webHidden/>
              </w:rPr>
              <w:fldChar w:fldCharType="end"/>
            </w:r>
          </w:hyperlink>
        </w:p>
        <w:p w:rsidR="00460FE1" w:rsidRDefault="00460FE1">
          <w:pPr>
            <w:pStyle w:val="TDC1"/>
            <w:tabs>
              <w:tab w:val="right" w:leader="dot" w:pos="10070"/>
            </w:tabs>
            <w:rPr>
              <w:rFonts w:eastAsiaTheme="minorEastAsia"/>
              <w:noProof/>
              <w:lang w:eastAsia="es-GT"/>
            </w:rPr>
          </w:pPr>
          <w:hyperlink w:anchor="_Toc536435697" w:history="1">
            <w:r w:rsidRPr="00BF3FC0">
              <w:rPr>
                <w:rStyle w:val="Hipervnculo"/>
                <w:rFonts w:asciiTheme="majorHAnsi" w:hAnsiTheme="majorHAnsi"/>
                <w:noProof/>
              </w:rPr>
              <w:t>Ficha Técnica:</w:t>
            </w:r>
            <w:r>
              <w:rPr>
                <w:noProof/>
                <w:webHidden/>
              </w:rPr>
              <w:tab/>
            </w:r>
            <w:r>
              <w:rPr>
                <w:noProof/>
                <w:webHidden/>
              </w:rPr>
              <w:fldChar w:fldCharType="begin"/>
            </w:r>
            <w:r>
              <w:rPr>
                <w:noProof/>
                <w:webHidden/>
              </w:rPr>
              <w:instrText xml:space="preserve"> PAGEREF _Toc536435697 \h </w:instrText>
            </w:r>
            <w:r>
              <w:rPr>
                <w:noProof/>
                <w:webHidden/>
              </w:rPr>
            </w:r>
            <w:r>
              <w:rPr>
                <w:noProof/>
                <w:webHidden/>
              </w:rPr>
              <w:fldChar w:fldCharType="separate"/>
            </w:r>
            <w:r>
              <w:rPr>
                <w:noProof/>
                <w:webHidden/>
              </w:rPr>
              <w:t>2</w:t>
            </w:r>
            <w:r>
              <w:rPr>
                <w:noProof/>
                <w:webHidden/>
              </w:rPr>
              <w:fldChar w:fldCharType="end"/>
            </w:r>
          </w:hyperlink>
        </w:p>
        <w:p w:rsidR="00460FE1" w:rsidRDefault="00460FE1">
          <w:pPr>
            <w:pStyle w:val="TDC1"/>
            <w:tabs>
              <w:tab w:val="right" w:leader="dot" w:pos="10070"/>
            </w:tabs>
            <w:rPr>
              <w:rFonts w:eastAsiaTheme="minorEastAsia"/>
              <w:noProof/>
              <w:lang w:eastAsia="es-GT"/>
            </w:rPr>
          </w:pPr>
          <w:hyperlink w:anchor="_Toc536435698" w:history="1">
            <w:r w:rsidRPr="00BF3FC0">
              <w:rPr>
                <w:rStyle w:val="Hipervnculo"/>
                <w:rFonts w:asciiTheme="majorHAnsi" w:hAnsiTheme="majorHAnsi"/>
                <w:noProof/>
              </w:rPr>
              <w:t>Objetivos de la supervisión:</w:t>
            </w:r>
            <w:r>
              <w:rPr>
                <w:noProof/>
                <w:webHidden/>
              </w:rPr>
              <w:tab/>
            </w:r>
            <w:r>
              <w:rPr>
                <w:noProof/>
                <w:webHidden/>
              </w:rPr>
              <w:fldChar w:fldCharType="begin"/>
            </w:r>
            <w:r>
              <w:rPr>
                <w:noProof/>
                <w:webHidden/>
              </w:rPr>
              <w:instrText xml:space="preserve"> PAGEREF _Toc536435698 \h </w:instrText>
            </w:r>
            <w:r>
              <w:rPr>
                <w:noProof/>
                <w:webHidden/>
              </w:rPr>
            </w:r>
            <w:r>
              <w:rPr>
                <w:noProof/>
                <w:webHidden/>
              </w:rPr>
              <w:fldChar w:fldCharType="separate"/>
            </w:r>
            <w:r>
              <w:rPr>
                <w:noProof/>
                <w:webHidden/>
              </w:rPr>
              <w:t>3</w:t>
            </w:r>
            <w:r>
              <w:rPr>
                <w:noProof/>
                <w:webHidden/>
              </w:rPr>
              <w:fldChar w:fldCharType="end"/>
            </w:r>
          </w:hyperlink>
        </w:p>
        <w:p w:rsidR="00460FE1" w:rsidRDefault="00460FE1">
          <w:pPr>
            <w:pStyle w:val="TDC1"/>
            <w:tabs>
              <w:tab w:val="right" w:leader="dot" w:pos="10070"/>
            </w:tabs>
            <w:rPr>
              <w:rFonts w:eastAsiaTheme="minorEastAsia"/>
              <w:noProof/>
              <w:lang w:eastAsia="es-GT"/>
            </w:rPr>
          </w:pPr>
          <w:hyperlink w:anchor="_Toc536435699" w:history="1">
            <w:r w:rsidRPr="00BF3FC0">
              <w:rPr>
                <w:rStyle w:val="Hipervnculo"/>
                <w:rFonts w:asciiTheme="majorHAnsi" w:hAnsiTheme="majorHAnsi"/>
                <w:noProof/>
              </w:rPr>
              <w:t>Principales hallazgos de la supervisión del portal electrónico:</w:t>
            </w:r>
            <w:r>
              <w:rPr>
                <w:noProof/>
                <w:webHidden/>
              </w:rPr>
              <w:tab/>
            </w:r>
            <w:r>
              <w:rPr>
                <w:noProof/>
                <w:webHidden/>
              </w:rPr>
              <w:fldChar w:fldCharType="begin"/>
            </w:r>
            <w:r>
              <w:rPr>
                <w:noProof/>
                <w:webHidden/>
              </w:rPr>
              <w:instrText xml:space="preserve"> PAGEREF _Toc536435699 \h </w:instrText>
            </w:r>
            <w:r>
              <w:rPr>
                <w:noProof/>
                <w:webHidden/>
              </w:rPr>
            </w:r>
            <w:r>
              <w:rPr>
                <w:noProof/>
                <w:webHidden/>
              </w:rPr>
              <w:fldChar w:fldCharType="separate"/>
            </w:r>
            <w:r>
              <w:rPr>
                <w:noProof/>
                <w:webHidden/>
              </w:rPr>
              <w:t>3</w:t>
            </w:r>
            <w:r>
              <w:rPr>
                <w:noProof/>
                <w:webHidden/>
              </w:rPr>
              <w:fldChar w:fldCharType="end"/>
            </w:r>
          </w:hyperlink>
        </w:p>
        <w:p w:rsidR="00460FE1" w:rsidRDefault="00460FE1">
          <w:pPr>
            <w:pStyle w:val="TDC1"/>
            <w:tabs>
              <w:tab w:val="right" w:leader="dot" w:pos="10070"/>
            </w:tabs>
            <w:rPr>
              <w:rFonts w:eastAsiaTheme="minorEastAsia"/>
              <w:noProof/>
              <w:lang w:eastAsia="es-GT"/>
            </w:rPr>
          </w:pPr>
          <w:hyperlink w:anchor="_Toc536435700" w:history="1">
            <w:r w:rsidRPr="00BF3FC0">
              <w:rPr>
                <w:rStyle w:val="Hipervnculo"/>
                <w:rFonts w:asciiTheme="majorHAnsi" w:hAnsiTheme="majorHAnsi"/>
                <w:noProof/>
              </w:rPr>
              <w:t>Criterios de cumplimiento:</w:t>
            </w:r>
            <w:r>
              <w:rPr>
                <w:noProof/>
                <w:webHidden/>
              </w:rPr>
              <w:tab/>
            </w:r>
            <w:r>
              <w:rPr>
                <w:noProof/>
                <w:webHidden/>
              </w:rPr>
              <w:fldChar w:fldCharType="begin"/>
            </w:r>
            <w:r>
              <w:rPr>
                <w:noProof/>
                <w:webHidden/>
              </w:rPr>
              <w:instrText xml:space="preserve"> PAGEREF _Toc536435700 \h </w:instrText>
            </w:r>
            <w:r>
              <w:rPr>
                <w:noProof/>
                <w:webHidden/>
              </w:rPr>
            </w:r>
            <w:r>
              <w:rPr>
                <w:noProof/>
                <w:webHidden/>
              </w:rPr>
              <w:fldChar w:fldCharType="separate"/>
            </w:r>
            <w:r>
              <w:rPr>
                <w:noProof/>
                <w:webHidden/>
              </w:rPr>
              <w:t>5</w:t>
            </w:r>
            <w:r>
              <w:rPr>
                <w:noProof/>
                <w:webHidden/>
              </w:rPr>
              <w:fldChar w:fldCharType="end"/>
            </w:r>
          </w:hyperlink>
        </w:p>
        <w:p w:rsidR="00460FE1" w:rsidRDefault="00460FE1">
          <w:pPr>
            <w:pStyle w:val="TDC1"/>
            <w:tabs>
              <w:tab w:val="right" w:leader="dot" w:pos="10070"/>
            </w:tabs>
            <w:rPr>
              <w:rFonts w:eastAsiaTheme="minorEastAsia"/>
              <w:noProof/>
              <w:lang w:eastAsia="es-GT"/>
            </w:rPr>
          </w:pPr>
          <w:hyperlink w:anchor="_Toc536435701" w:history="1">
            <w:r w:rsidRPr="00BF3FC0">
              <w:rPr>
                <w:rStyle w:val="Hipervnculo"/>
                <w:rFonts w:asciiTheme="majorHAnsi" w:hAnsiTheme="majorHAnsi"/>
                <w:noProof/>
              </w:rPr>
              <w:t>Nivel de Cumplimiento:</w:t>
            </w:r>
            <w:r>
              <w:rPr>
                <w:noProof/>
                <w:webHidden/>
              </w:rPr>
              <w:tab/>
            </w:r>
            <w:r>
              <w:rPr>
                <w:noProof/>
                <w:webHidden/>
              </w:rPr>
              <w:fldChar w:fldCharType="begin"/>
            </w:r>
            <w:r>
              <w:rPr>
                <w:noProof/>
                <w:webHidden/>
              </w:rPr>
              <w:instrText xml:space="preserve"> PAGEREF _Toc536435701 \h </w:instrText>
            </w:r>
            <w:r>
              <w:rPr>
                <w:noProof/>
                <w:webHidden/>
              </w:rPr>
            </w:r>
            <w:r>
              <w:rPr>
                <w:noProof/>
                <w:webHidden/>
              </w:rPr>
              <w:fldChar w:fldCharType="separate"/>
            </w:r>
            <w:r>
              <w:rPr>
                <w:noProof/>
                <w:webHidden/>
              </w:rPr>
              <w:t>5</w:t>
            </w:r>
            <w:r>
              <w:rPr>
                <w:noProof/>
                <w:webHidden/>
              </w:rPr>
              <w:fldChar w:fldCharType="end"/>
            </w:r>
          </w:hyperlink>
        </w:p>
        <w:p w:rsidR="00460FE1" w:rsidRDefault="00460FE1">
          <w:pPr>
            <w:pStyle w:val="TDC1"/>
            <w:tabs>
              <w:tab w:val="right" w:leader="dot" w:pos="10070"/>
            </w:tabs>
            <w:rPr>
              <w:rFonts w:eastAsiaTheme="minorEastAsia"/>
              <w:noProof/>
              <w:lang w:eastAsia="es-GT"/>
            </w:rPr>
          </w:pPr>
          <w:hyperlink w:anchor="_Toc536435702" w:history="1">
            <w:r w:rsidRPr="00BF3FC0">
              <w:rPr>
                <w:rStyle w:val="Hipervnculo"/>
                <w:rFonts w:asciiTheme="majorHAnsi" w:hAnsiTheme="majorHAnsi"/>
                <w:noProof/>
              </w:rPr>
              <w:t>Rango de cumplimiento:</w:t>
            </w:r>
            <w:r>
              <w:rPr>
                <w:noProof/>
                <w:webHidden/>
              </w:rPr>
              <w:tab/>
            </w:r>
            <w:r>
              <w:rPr>
                <w:noProof/>
                <w:webHidden/>
              </w:rPr>
              <w:fldChar w:fldCharType="begin"/>
            </w:r>
            <w:r>
              <w:rPr>
                <w:noProof/>
                <w:webHidden/>
              </w:rPr>
              <w:instrText xml:space="preserve"> PAGEREF _Toc536435702 \h </w:instrText>
            </w:r>
            <w:r>
              <w:rPr>
                <w:noProof/>
                <w:webHidden/>
              </w:rPr>
            </w:r>
            <w:r>
              <w:rPr>
                <w:noProof/>
                <w:webHidden/>
              </w:rPr>
              <w:fldChar w:fldCharType="separate"/>
            </w:r>
            <w:r>
              <w:rPr>
                <w:noProof/>
                <w:webHidden/>
              </w:rPr>
              <w:t>6</w:t>
            </w:r>
            <w:r>
              <w:rPr>
                <w:noProof/>
                <w:webHidden/>
              </w:rPr>
              <w:fldChar w:fldCharType="end"/>
            </w:r>
          </w:hyperlink>
        </w:p>
        <w:p w:rsidR="00460FE1" w:rsidRDefault="00460FE1">
          <w:pPr>
            <w:pStyle w:val="TDC1"/>
            <w:tabs>
              <w:tab w:val="right" w:leader="dot" w:pos="10070"/>
            </w:tabs>
            <w:rPr>
              <w:rFonts w:eastAsiaTheme="minorEastAsia"/>
              <w:noProof/>
              <w:lang w:eastAsia="es-GT"/>
            </w:rPr>
          </w:pPr>
          <w:hyperlink w:anchor="_Toc536435703" w:history="1">
            <w:r w:rsidRPr="00BF3FC0">
              <w:rPr>
                <w:rStyle w:val="Hipervnculo"/>
                <w:rFonts w:asciiTheme="majorHAnsi" w:hAnsiTheme="majorHAnsi"/>
                <w:noProof/>
              </w:rPr>
              <w:t>Conclusiones:</w:t>
            </w:r>
            <w:r>
              <w:rPr>
                <w:noProof/>
                <w:webHidden/>
              </w:rPr>
              <w:tab/>
            </w:r>
            <w:r>
              <w:rPr>
                <w:noProof/>
                <w:webHidden/>
              </w:rPr>
              <w:fldChar w:fldCharType="begin"/>
            </w:r>
            <w:r>
              <w:rPr>
                <w:noProof/>
                <w:webHidden/>
              </w:rPr>
              <w:instrText xml:space="preserve"> PAGEREF _Toc536435703 \h </w:instrText>
            </w:r>
            <w:r>
              <w:rPr>
                <w:noProof/>
                <w:webHidden/>
              </w:rPr>
            </w:r>
            <w:r>
              <w:rPr>
                <w:noProof/>
                <w:webHidden/>
              </w:rPr>
              <w:fldChar w:fldCharType="separate"/>
            </w:r>
            <w:r>
              <w:rPr>
                <w:noProof/>
                <w:webHidden/>
              </w:rPr>
              <w:t>6</w:t>
            </w:r>
            <w:r>
              <w:rPr>
                <w:noProof/>
                <w:webHidden/>
              </w:rPr>
              <w:fldChar w:fldCharType="end"/>
            </w:r>
          </w:hyperlink>
        </w:p>
        <w:p w:rsidR="00460FE1" w:rsidRDefault="00460FE1">
          <w:pPr>
            <w:pStyle w:val="TDC1"/>
            <w:tabs>
              <w:tab w:val="right" w:leader="dot" w:pos="10070"/>
            </w:tabs>
            <w:rPr>
              <w:rFonts w:eastAsiaTheme="minorEastAsia"/>
              <w:noProof/>
              <w:lang w:eastAsia="es-GT"/>
            </w:rPr>
          </w:pPr>
          <w:hyperlink w:anchor="_Toc536435704" w:history="1">
            <w:r w:rsidRPr="00BF3FC0">
              <w:rPr>
                <w:rStyle w:val="Hipervnculo"/>
                <w:rFonts w:asciiTheme="majorHAnsi" w:hAnsiTheme="majorHAnsi"/>
                <w:noProof/>
              </w:rPr>
              <w:t>Recomendaciones:</w:t>
            </w:r>
            <w:r>
              <w:rPr>
                <w:noProof/>
                <w:webHidden/>
              </w:rPr>
              <w:tab/>
            </w:r>
            <w:r>
              <w:rPr>
                <w:noProof/>
                <w:webHidden/>
              </w:rPr>
              <w:fldChar w:fldCharType="begin"/>
            </w:r>
            <w:r>
              <w:rPr>
                <w:noProof/>
                <w:webHidden/>
              </w:rPr>
              <w:instrText xml:space="preserve"> PAGEREF _Toc536435704 \h </w:instrText>
            </w:r>
            <w:r>
              <w:rPr>
                <w:noProof/>
                <w:webHidden/>
              </w:rPr>
            </w:r>
            <w:r>
              <w:rPr>
                <w:noProof/>
                <w:webHidden/>
              </w:rPr>
              <w:fldChar w:fldCharType="separate"/>
            </w:r>
            <w:r>
              <w:rPr>
                <w:noProof/>
                <w:webHidden/>
              </w:rPr>
              <w:t>6</w:t>
            </w:r>
            <w:r>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536435696"/>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 la</w:t>
      </w:r>
      <w:r>
        <w:rPr>
          <w:rFonts w:asciiTheme="majorHAnsi" w:hAnsiTheme="majorHAnsi" w:cs="Arial"/>
          <w:sz w:val="22"/>
          <w:szCs w:val="22"/>
          <w:lang w:val="es-GT"/>
        </w:rPr>
        <w:t xml:space="preserve"> </w:t>
      </w:r>
      <w:r w:rsidR="00F65CB9" w:rsidRPr="00C4099A">
        <w:rPr>
          <w:rFonts w:asciiTheme="majorHAnsi" w:hAnsiTheme="majorHAnsi" w:cs="Arial"/>
          <w:b/>
          <w:sz w:val="22"/>
          <w:szCs w:val="22"/>
          <w:lang w:val="es-GT"/>
        </w:rPr>
        <w:t xml:space="preserve">Secretaría </w:t>
      </w:r>
      <w:r w:rsidR="00F54E9A">
        <w:rPr>
          <w:rFonts w:asciiTheme="majorHAnsi" w:hAnsiTheme="majorHAnsi" w:cs="Arial"/>
          <w:b/>
          <w:sz w:val="22"/>
          <w:szCs w:val="22"/>
          <w:lang w:val="es-GT"/>
        </w:rPr>
        <w:t>Eje</w:t>
      </w:r>
      <w:r w:rsidR="00460FE1">
        <w:rPr>
          <w:rFonts w:asciiTheme="majorHAnsi" w:hAnsiTheme="majorHAnsi" w:cs="Arial"/>
          <w:b/>
          <w:sz w:val="22"/>
          <w:szCs w:val="22"/>
          <w:lang w:val="es-GT"/>
        </w:rPr>
        <w:t>cutiva d</w:t>
      </w:r>
      <w:r w:rsidR="00460FE1" w:rsidRPr="00460FE1">
        <w:rPr>
          <w:rFonts w:asciiTheme="majorHAnsi" w:hAnsiTheme="majorHAnsi" w:cs="Arial"/>
          <w:b/>
          <w:sz w:val="22"/>
          <w:szCs w:val="22"/>
          <w:lang w:val="es-GT"/>
        </w:rPr>
        <w:t xml:space="preserve">e </w:t>
      </w:r>
      <w:r w:rsidR="00460FE1">
        <w:rPr>
          <w:rFonts w:asciiTheme="majorHAnsi" w:hAnsiTheme="majorHAnsi" w:cs="Arial"/>
          <w:b/>
          <w:sz w:val="22"/>
          <w:szCs w:val="22"/>
          <w:lang w:val="es-GT"/>
        </w:rPr>
        <w:t>l</w:t>
      </w:r>
      <w:r w:rsidR="00460FE1" w:rsidRPr="00460FE1">
        <w:rPr>
          <w:rFonts w:asciiTheme="majorHAnsi" w:hAnsiTheme="majorHAnsi" w:cs="Arial"/>
          <w:b/>
          <w:sz w:val="22"/>
          <w:szCs w:val="22"/>
          <w:lang w:val="es-GT"/>
        </w:rPr>
        <w:t xml:space="preserve">a Comisión Contra </w:t>
      </w:r>
      <w:r w:rsidR="00460FE1">
        <w:rPr>
          <w:rFonts w:asciiTheme="majorHAnsi" w:hAnsiTheme="majorHAnsi" w:cs="Arial"/>
          <w:b/>
          <w:sz w:val="22"/>
          <w:szCs w:val="22"/>
          <w:lang w:val="es-GT"/>
        </w:rPr>
        <w:t>l</w:t>
      </w:r>
      <w:r w:rsidR="00460FE1" w:rsidRPr="00460FE1">
        <w:rPr>
          <w:rFonts w:asciiTheme="majorHAnsi" w:hAnsiTheme="majorHAnsi" w:cs="Arial"/>
          <w:b/>
          <w:sz w:val="22"/>
          <w:szCs w:val="22"/>
          <w:lang w:val="es-GT"/>
        </w:rPr>
        <w:t xml:space="preserve">as Adicciones </w:t>
      </w:r>
      <w:r w:rsidR="00460FE1">
        <w:rPr>
          <w:rFonts w:asciiTheme="majorHAnsi" w:hAnsiTheme="majorHAnsi" w:cs="Arial"/>
          <w:b/>
          <w:sz w:val="22"/>
          <w:szCs w:val="22"/>
          <w:lang w:val="es-GT"/>
        </w:rPr>
        <w:t>y</w:t>
      </w:r>
      <w:r w:rsidR="00460FE1" w:rsidRPr="00460FE1">
        <w:rPr>
          <w:rFonts w:asciiTheme="majorHAnsi" w:hAnsiTheme="majorHAnsi" w:cs="Arial"/>
          <w:b/>
          <w:sz w:val="22"/>
          <w:szCs w:val="22"/>
          <w:lang w:val="es-GT"/>
        </w:rPr>
        <w:t xml:space="preserve"> </w:t>
      </w:r>
      <w:r w:rsidR="00460FE1">
        <w:rPr>
          <w:rFonts w:asciiTheme="majorHAnsi" w:hAnsiTheme="majorHAnsi" w:cs="Arial"/>
          <w:b/>
          <w:sz w:val="22"/>
          <w:szCs w:val="22"/>
          <w:lang w:val="es-GT"/>
        </w:rPr>
        <w:t>e</w:t>
      </w:r>
      <w:r w:rsidR="00460FE1" w:rsidRPr="00460FE1">
        <w:rPr>
          <w:rFonts w:asciiTheme="majorHAnsi" w:hAnsiTheme="majorHAnsi" w:cs="Arial"/>
          <w:b/>
          <w:sz w:val="22"/>
          <w:szCs w:val="22"/>
          <w:lang w:val="es-GT"/>
        </w:rPr>
        <w:t xml:space="preserve">l Tráfico Ilícito </w:t>
      </w:r>
      <w:r w:rsidR="00460FE1">
        <w:rPr>
          <w:rFonts w:asciiTheme="majorHAnsi" w:hAnsiTheme="majorHAnsi" w:cs="Arial"/>
          <w:b/>
          <w:sz w:val="22"/>
          <w:szCs w:val="22"/>
          <w:lang w:val="es-GT"/>
        </w:rPr>
        <w:t>d</w:t>
      </w:r>
      <w:r w:rsidR="00460FE1" w:rsidRPr="00460FE1">
        <w:rPr>
          <w:rFonts w:asciiTheme="majorHAnsi" w:hAnsiTheme="majorHAnsi" w:cs="Arial"/>
          <w:b/>
          <w:sz w:val="22"/>
          <w:szCs w:val="22"/>
          <w:lang w:val="es-GT"/>
        </w:rPr>
        <w:t xml:space="preserve">e Drogas </w:t>
      </w:r>
      <w:r w:rsidRPr="00C4099A">
        <w:rPr>
          <w:rFonts w:asciiTheme="majorHAnsi" w:hAnsiTheme="majorHAnsi" w:cs="Arial"/>
          <w:sz w:val="22"/>
          <w:szCs w:val="22"/>
          <w:lang w:val="es-GT"/>
        </w:rPr>
        <w:t xml:space="preserve">dependencia del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C4099A" w:rsidRDefault="00C4099A" w:rsidP="00833125">
      <w:pPr>
        <w:jc w:val="both"/>
        <w:rPr>
          <w:rFonts w:cs="Arial"/>
          <w:sz w:val="22"/>
          <w:szCs w:val="22"/>
          <w:lang w:val="es-ES"/>
        </w:rPr>
      </w:pPr>
    </w:p>
    <w:p w:rsidR="001A1EC7" w:rsidRDefault="001A1EC7" w:rsidP="00833125">
      <w:pPr>
        <w:jc w:val="both"/>
        <w:rPr>
          <w:rFonts w:cs="Arial"/>
          <w:sz w:val="22"/>
          <w:szCs w:val="22"/>
          <w:lang w:val="es-ES"/>
        </w:rPr>
      </w:pPr>
    </w:p>
    <w:p w:rsidR="001A1EC7" w:rsidRDefault="001A1EC7" w:rsidP="00833125">
      <w:pPr>
        <w:jc w:val="both"/>
        <w:rPr>
          <w:rFonts w:cs="Arial"/>
          <w:sz w:val="22"/>
          <w:szCs w:val="22"/>
          <w:lang w:val="es-ES"/>
        </w:rPr>
      </w:pPr>
    </w:p>
    <w:p w:rsidR="001A1EC7" w:rsidRDefault="001A1EC7" w:rsidP="00833125">
      <w:pPr>
        <w:jc w:val="both"/>
        <w:rPr>
          <w:rFonts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536435697"/>
      <w:r>
        <w:rPr>
          <w:rFonts w:asciiTheme="majorHAnsi" w:hAnsiTheme="majorHAnsi"/>
        </w:rPr>
        <w:lastRenderedPageBreak/>
        <w:t>Ficha Técnica</w:t>
      </w:r>
      <w:r w:rsidR="00AF67EB" w:rsidRPr="00AF67EB">
        <w:rPr>
          <w:rFonts w:asciiTheme="majorHAnsi" w:hAnsiTheme="majorHAnsi"/>
        </w:rPr>
        <w:t>:</w:t>
      </w:r>
      <w:bookmarkEnd w:id="2"/>
    </w:p>
    <w:p w:rsidR="00C918E8" w:rsidRDefault="00C918E8" w:rsidP="00AF67EB">
      <w:pPr>
        <w:spacing w:line="276" w:lineRule="auto"/>
        <w:jc w:val="both"/>
        <w:rPr>
          <w:rFonts w:asciiTheme="majorHAnsi" w:hAnsiTheme="majorHAnsi"/>
          <w:sz w:val="22"/>
          <w:szCs w:val="22"/>
        </w:rPr>
      </w:pPr>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Organismo Ejecutivo</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460FE1" w:rsidRPr="00460FE1">
        <w:rPr>
          <w:rFonts w:asciiTheme="majorHAnsi" w:hAnsiTheme="majorHAnsi"/>
          <w:sz w:val="22"/>
          <w:szCs w:val="22"/>
          <w:lang w:val="es-GT"/>
        </w:rPr>
        <w:t>Secretaría Ejecutiva de la Comisión Contra las Adicciones y el Tráfico Ilícito de Drogas</w:t>
      </w:r>
      <w:r w:rsidR="00460FE1" w:rsidRPr="00460FE1">
        <w:rPr>
          <w:rFonts w:asciiTheme="majorHAnsi" w:hAnsiTheme="majorHAnsi"/>
          <w:b/>
          <w:sz w:val="22"/>
          <w:szCs w:val="22"/>
          <w:lang w:val="es-GT"/>
        </w:rPr>
        <w:t xml:space="preserve"> </w:t>
      </w:r>
      <w:r w:rsidR="0033519A" w:rsidRPr="00C918E8">
        <w:rPr>
          <w:rFonts w:asciiTheme="majorHAnsi" w:hAnsiTheme="majorHAnsi"/>
          <w:sz w:val="22"/>
          <w:szCs w:val="22"/>
        </w:rPr>
        <w:t>(</w:t>
      </w:r>
      <w:r w:rsidRPr="00C918E8">
        <w:rPr>
          <w:rFonts w:asciiTheme="majorHAnsi" w:hAnsiTheme="majorHAnsi"/>
          <w:sz w:val="22"/>
          <w:szCs w:val="22"/>
        </w:rPr>
        <w:t>S</w:t>
      </w:r>
      <w:r w:rsidR="0031393F">
        <w:rPr>
          <w:rFonts w:asciiTheme="majorHAnsi" w:hAnsiTheme="majorHAnsi"/>
          <w:sz w:val="22"/>
          <w:szCs w:val="22"/>
        </w:rPr>
        <w:t>E</w:t>
      </w:r>
      <w:r w:rsidR="00460FE1">
        <w:rPr>
          <w:rFonts w:asciiTheme="majorHAnsi" w:hAnsiTheme="majorHAnsi"/>
          <w:sz w:val="22"/>
          <w:szCs w:val="22"/>
        </w:rPr>
        <w:t>CCATID</w:t>
      </w:r>
      <w:r w:rsidRPr="00C918E8">
        <w:rPr>
          <w:rFonts w:asciiTheme="majorHAnsi" w:hAnsiTheme="majorHAnsi"/>
          <w:sz w:val="22"/>
          <w:szCs w:val="22"/>
        </w:rPr>
        <w:t>)</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r w:rsidR="0033519A" w:rsidRPr="0033519A">
        <w:rPr>
          <w:rStyle w:val="Hipervnculo"/>
          <w:rFonts w:asciiTheme="majorHAnsi" w:hAnsiTheme="majorHAnsi"/>
          <w:sz w:val="22"/>
          <w:szCs w:val="22"/>
        </w:rPr>
        <w:t>http://www.s</w:t>
      </w:r>
      <w:r w:rsidR="0031393F">
        <w:rPr>
          <w:rStyle w:val="Hipervnculo"/>
          <w:rFonts w:asciiTheme="majorHAnsi" w:hAnsiTheme="majorHAnsi"/>
          <w:sz w:val="22"/>
          <w:szCs w:val="22"/>
        </w:rPr>
        <w:t>e</w:t>
      </w:r>
      <w:r w:rsidR="00460FE1">
        <w:rPr>
          <w:rStyle w:val="Hipervnculo"/>
          <w:rFonts w:asciiTheme="majorHAnsi" w:hAnsiTheme="majorHAnsi"/>
          <w:sz w:val="22"/>
          <w:szCs w:val="22"/>
        </w:rPr>
        <w:t>ccatid</w:t>
      </w:r>
      <w:r w:rsidR="0033519A" w:rsidRPr="0033519A">
        <w:rPr>
          <w:rStyle w:val="Hipervnculo"/>
          <w:rFonts w:asciiTheme="majorHAnsi" w:hAnsiTheme="majorHAnsi"/>
          <w:sz w:val="22"/>
          <w:szCs w:val="22"/>
        </w:rPr>
        <w:t>.gob.gt/</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Pr="00C918E8">
        <w:rPr>
          <w:rFonts w:asciiTheme="majorHAnsi" w:hAnsiTheme="majorHAnsi" w:cs="Arial"/>
          <w:sz w:val="22"/>
          <w:szCs w:val="22"/>
        </w:rPr>
        <w:t>10 y 11</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31393F">
        <w:rPr>
          <w:rFonts w:asciiTheme="majorHAnsi" w:hAnsiTheme="majorHAnsi"/>
          <w:sz w:val="22"/>
          <w:szCs w:val="22"/>
        </w:rPr>
        <w:t>2</w:t>
      </w:r>
      <w:r w:rsidR="00460FE1">
        <w:rPr>
          <w:rFonts w:asciiTheme="majorHAnsi" w:hAnsiTheme="majorHAnsi"/>
          <w:sz w:val="22"/>
          <w:szCs w:val="22"/>
        </w:rPr>
        <w:t>5</w:t>
      </w:r>
      <w:r w:rsidRPr="00F41939">
        <w:rPr>
          <w:rFonts w:asciiTheme="majorHAnsi" w:hAnsiTheme="majorHAnsi"/>
          <w:sz w:val="22"/>
          <w:szCs w:val="22"/>
        </w:rPr>
        <w:t>-</w:t>
      </w:r>
      <w:r>
        <w:rPr>
          <w:rFonts w:asciiTheme="majorHAnsi" w:hAnsiTheme="majorHAnsi"/>
          <w:sz w:val="22"/>
          <w:szCs w:val="22"/>
        </w:rPr>
        <w:t>0</w:t>
      </w:r>
      <w:r w:rsidRPr="00F41939">
        <w:rPr>
          <w:rFonts w:asciiTheme="majorHAnsi" w:hAnsiTheme="majorHAnsi"/>
          <w:sz w:val="22"/>
          <w:szCs w:val="22"/>
        </w:rPr>
        <w:t>1-201</w:t>
      </w:r>
      <w:r>
        <w:rPr>
          <w:rFonts w:asciiTheme="majorHAnsi" w:hAnsiTheme="majorHAnsi"/>
          <w:sz w:val="22"/>
          <w:szCs w:val="22"/>
        </w:rPr>
        <w:t>9</w:t>
      </w:r>
    </w:p>
    <w:p w:rsidR="0033519A" w:rsidRDefault="00AF67EB" w:rsidP="00AF67EB">
      <w:pPr>
        <w:spacing w:line="276" w:lineRule="auto"/>
        <w:jc w:val="both"/>
        <w:rPr>
          <w:rFonts w:asciiTheme="majorHAnsi" w:hAnsiTheme="majorHAnsi" w:cs="Arial"/>
          <w:sz w:val="22"/>
          <w:szCs w:val="22"/>
        </w:rPr>
      </w:pPr>
      <w:r w:rsidRPr="00F41939">
        <w:rPr>
          <w:rFonts w:asciiTheme="majorHAnsi" w:hAnsiTheme="majorHAnsi" w:cs="Arial"/>
          <w:b/>
          <w:sz w:val="22"/>
          <w:szCs w:val="22"/>
        </w:rPr>
        <w:t>Supervisor:</w:t>
      </w:r>
      <w:r w:rsidRPr="00F41939">
        <w:rPr>
          <w:rFonts w:asciiTheme="majorHAnsi" w:hAnsiTheme="majorHAnsi" w:cs="Arial"/>
          <w:sz w:val="22"/>
          <w:szCs w:val="22"/>
        </w:rPr>
        <w:t xml:space="preserve"> </w:t>
      </w:r>
      <w:r w:rsidR="0033519A">
        <w:rPr>
          <w:rFonts w:asciiTheme="majorHAnsi" w:hAnsiTheme="majorHAnsi" w:cs="Arial"/>
          <w:sz w:val="22"/>
          <w:szCs w:val="22"/>
        </w:rPr>
        <w:t xml:space="preserve">Carmen María Saavedra Zepeda </w:t>
      </w:r>
    </w:p>
    <w:p w:rsidR="00AF67EB" w:rsidRDefault="00C918E8" w:rsidP="00AF67EB">
      <w:pPr>
        <w:spacing w:line="276" w:lineRule="auto"/>
        <w:jc w:val="both"/>
        <w:rPr>
          <w:rFonts w:asciiTheme="majorHAnsi" w:hAnsiTheme="majorHAnsi" w:cs="Arial"/>
          <w:sz w:val="22"/>
          <w:szCs w:val="22"/>
        </w:rPr>
      </w:pPr>
      <w:r w:rsidRPr="00C918E8">
        <w:rPr>
          <w:rFonts w:asciiTheme="majorHAnsi" w:hAnsiTheme="majorHAnsi" w:cs="Arial"/>
          <w:b/>
          <w:sz w:val="22"/>
          <w:szCs w:val="22"/>
        </w:rPr>
        <w:t>Nivel de Cumplimiento:</w:t>
      </w:r>
      <w:r>
        <w:rPr>
          <w:rFonts w:asciiTheme="majorHAnsi" w:hAnsiTheme="majorHAnsi" w:cs="Arial"/>
          <w:sz w:val="22"/>
          <w:szCs w:val="22"/>
        </w:rPr>
        <w:t xml:space="preserve"> </w:t>
      </w:r>
      <w:r w:rsidR="00460FE1">
        <w:rPr>
          <w:rFonts w:asciiTheme="majorHAnsi" w:hAnsiTheme="majorHAnsi" w:cs="Arial"/>
          <w:sz w:val="22"/>
          <w:szCs w:val="22"/>
        </w:rPr>
        <w:t>70.73</w:t>
      </w:r>
      <w:r>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AF67EB" w:rsidRDefault="00AF67EB"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3" w:name="_Toc532396009"/>
      <w:bookmarkStart w:id="4" w:name="_Toc536435698"/>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3"/>
    </w:p>
    <w:p w:rsidR="00AF67EB" w:rsidRDefault="00AF67EB" w:rsidP="00AF67EB">
      <w:pPr>
        <w:rPr>
          <w:rFonts w:asciiTheme="majorHAnsi" w:hAnsiTheme="majorHAnsi"/>
          <w:sz w:val="22"/>
          <w:szCs w:val="22"/>
        </w:rPr>
      </w:pPr>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rsidR="00AF67EB" w:rsidRDefault="00AF67EB" w:rsidP="00AF67EB">
      <w:pPr>
        <w:jc w:val="both"/>
        <w:rPr>
          <w:rFonts w:asciiTheme="majorHAnsi" w:hAnsiTheme="majorHAnsi"/>
          <w:sz w:val="22"/>
          <w:szCs w:val="22"/>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CA258A">
        <w:rPr>
          <w:rFonts w:asciiTheme="majorHAnsi" w:hAnsiTheme="majorHAnsi"/>
        </w:rPr>
        <w:t xml:space="preserve">s </w:t>
      </w:r>
      <w:r w:rsidRPr="006E39CA">
        <w:rPr>
          <w:rFonts w:asciiTheme="majorHAnsi" w:hAnsiTheme="majorHAnsi"/>
        </w:rPr>
        <w:t>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265F6" w:rsidRDefault="00DB4824" w:rsidP="00DB4824">
      <w:pPr>
        <w:jc w:val="both"/>
        <w:rPr>
          <w:rFonts w:cs="Arial"/>
          <w:b/>
          <w:sz w:val="22"/>
          <w:szCs w:val="22"/>
        </w:rPr>
      </w:pPr>
      <w:bookmarkStart w:id="5" w:name="_Toc462733949"/>
    </w:p>
    <w:p w:rsidR="00DB4824" w:rsidRPr="006E39CA" w:rsidRDefault="00DB4824" w:rsidP="006E39CA">
      <w:pPr>
        <w:pStyle w:val="Ttulo1"/>
        <w:spacing w:before="0" w:beforeAutospacing="0" w:after="0" w:afterAutospacing="0"/>
        <w:rPr>
          <w:rFonts w:asciiTheme="majorHAnsi" w:hAnsiTheme="majorHAnsi"/>
        </w:rPr>
      </w:pPr>
      <w:bookmarkStart w:id="6" w:name="_Toc536435699"/>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rsidR="00DB4824" w:rsidRPr="003A7371" w:rsidRDefault="00DB4824"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A27CEE" w:rsidRPr="003A7371"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A27CEE" w:rsidRPr="003A7371" w:rsidRDefault="00A27CE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A27CE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A27CE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33519A" w:rsidP="003351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3519A">
              <w:rPr>
                <w:rFonts w:asciiTheme="majorHAnsi" w:eastAsia="Times New Roman" w:hAnsiTheme="majorHAnsi" w:cs="Times New Roman"/>
                <w:sz w:val="20"/>
                <w:szCs w:val="20"/>
                <w:lang w:eastAsia="es-GT"/>
              </w:rPr>
              <w:t>Se recomienda publicar la Ley del Organismo Ejecutivo.</w:t>
            </w: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A27CE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3</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A27CEE" w:rsidRPr="003A7371" w:rsidRDefault="00460FE1"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F65CB9"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F65CB9">
              <w:rPr>
                <w:rFonts w:asciiTheme="majorHAnsi" w:eastAsia="Times New Roman" w:hAnsiTheme="majorHAnsi" w:cs="Times New Roman"/>
                <w:sz w:val="20"/>
                <w:szCs w:val="20"/>
                <w:lang w:eastAsia="es-GT"/>
              </w:rPr>
              <w:t>Se recomienda mejorar la resolución al momento de escanear el documento o utilizar un formato editable para la publicación.</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2F2FDE" w:rsidRPr="003A7371" w:rsidRDefault="00F65CB9"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460FE1"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60FE1">
              <w:rPr>
                <w:rFonts w:asciiTheme="majorHAnsi" w:eastAsia="Times New Roman" w:hAnsiTheme="majorHAnsi" w:cs="Times New Roman"/>
                <w:sz w:val="20"/>
                <w:szCs w:val="20"/>
                <w:lang w:eastAsia="es-GT"/>
              </w:rPr>
              <w:t>El documento cargado tiene dentro de las Referencias de Ley sueldos y bonos Vigentes E. NO APLICA PARA SECCATID sin embargo en el formato de las remuneraciones no aparece la literal E. ni el nombre de la remuneración a la que hace referencia.</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5</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2F2FDE" w:rsidRPr="003A7371" w:rsidRDefault="0033519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F65CB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F65CB9">
              <w:rPr>
                <w:rFonts w:asciiTheme="majorHAnsi" w:eastAsia="Times New Roman" w:hAnsiTheme="majorHAnsi" w:cs="Times New Roman"/>
                <w:sz w:val="20"/>
                <w:szCs w:val="20"/>
                <w:lang w:eastAsia="es-GT"/>
              </w:rPr>
              <w:t>/A</w:t>
            </w:r>
          </w:p>
        </w:tc>
        <w:tc>
          <w:tcPr>
            <w:tcW w:w="5245" w:type="dxa"/>
          </w:tcPr>
          <w:p w:rsidR="002F2FDE" w:rsidRPr="003A7371" w:rsidRDefault="002F2FD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2F2FDE" w:rsidRPr="003A7371" w:rsidRDefault="00460FE1"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460FE1"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460FE1">
              <w:rPr>
                <w:rFonts w:asciiTheme="majorHAnsi" w:eastAsia="Times New Roman" w:hAnsiTheme="majorHAnsi" w:cs="Times New Roman"/>
                <w:sz w:val="20"/>
                <w:szCs w:val="20"/>
                <w:lang w:eastAsia="es-GT"/>
              </w:rPr>
              <w:t xml:space="preserve">En el formato de viajes Nacionales se asume que publican el nombre del </w:t>
            </w:r>
            <w:r w:rsidR="00B56B02" w:rsidRPr="00460FE1">
              <w:rPr>
                <w:rFonts w:asciiTheme="majorHAnsi" w:eastAsia="Times New Roman" w:hAnsiTheme="majorHAnsi" w:cs="Times New Roman"/>
                <w:sz w:val="20"/>
                <w:szCs w:val="20"/>
                <w:lang w:eastAsia="es-GT"/>
              </w:rPr>
              <w:t>programa,</w:t>
            </w:r>
            <w:r w:rsidRPr="00460FE1">
              <w:rPr>
                <w:rFonts w:asciiTheme="majorHAnsi" w:eastAsia="Times New Roman" w:hAnsiTheme="majorHAnsi" w:cs="Times New Roman"/>
                <w:sz w:val="20"/>
                <w:szCs w:val="20"/>
                <w:lang w:eastAsia="es-GT"/>
              </w:rPr>
              <w:t xml:space="preserve"> pero no hay mayor explicación al respecto. </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2F2FDE" w:rsidRPr="003A7371" w:rsidRDefault="00460FE1"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B56B02"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460FE1">
              <w:rPr>
                <w:rFonts w:asciiTheme="majorHAnsi" w:eastAsia="Times New Roman" w:hAnsiTheme="majorHAnsi" w:cs="Times New Roman"/>
                <w:sz w:val="20"/>
                <w:szCs w:val="20"/>
                <w:lang w:eastAsia="es-GT"/>
              </w:rPr>
              <w:t>En cuanto a viajes internacionales publican el informe, sin embargo, el numeral claramente establece listado de viajes nacionales e internacionales ... por lo que si es necesario que realicen y publiquen un listado que se vaya actualizando mensualmente incluso cuando no se hayan realizado viajes.</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2F2FDE" w:rsidRPr="003A7371" w:rsidRDefault="00F65CB9"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No</w:t>
            </w:r>
          </w:p>
        </w:tc>
        <w:tc>
          <w:tcPr>
            <w:tcW w:w="5245" w:type="dxa"/>
          </w:tcPr>
          <w:p w:rsidR="002F2FDE" w:rsidRPr="003A7371" w:rsidRDefault="00F65CB9" w:rsidP="00F65CB9">
            <w:pPr>
              <w:tabs>
                <w:tab w:val="left" w:pos="1105"/>
              </w:tab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F65CB9">
              <w:rPr>
                <w:rFonts w:asciiTheme="majorHAnsi" w:eastAsia="Times New Roman" w:hAnsiTheme="majorHAnsi" w:cs="Times New Roman"/>
                <w:sz w:val="20"/>
                <w:szCs w:val="20"/>
                <w:lang w:eastAsia="es-GT"/>
              </w:rPr>
              <w:t>Falta la información de los bienes inmuebles, por lo que si no se cuenta con bienes inmuebles se debe publicar una justificación que informe tal extremo.</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2F2FDE" w:rsidRPr="003A7371" w:rsidRDefault="00F65CB9"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B56B02">
              <w:rPr>
                <w:rFonts w:asciiTheme="majorHAnsi" w:eastAsia="Times New Roman" w:hAnsiTheme="majorHAnsi" w:cs="Times New Roman"/>
                <w:sz w:val="20"/>
                <w:szCs w:val="20"/>
                <w:lang w:eastAsia="es-GT"/>
              </w:rPr>
              <w:t>o</w:t>
            </w:r>
          </w:p>
        </w:tc>
        <w:tc>
          <w:tcPr>
            <w:tcW w:w="5245" w:type="dxa"/>
          </w:tcPr>
          <w:p w:rsidR="002F2FDE" w:rsidRPr="003A7371" w:rsidRDefault="00B56B02"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B56B02">
              <w:rPr>
                <w:rFonts w:asciiTheme="majorHAnsi" w:eastAsia="Times New Roman" w:hAnsiTheme="majorHAnsi" w:cs="Times New Roman"/>
                <w:sz w:val="20"/>
                <w:szCs w:val="20"/>
                <w:lang w:eastAsia="es-GT"/>
              </w:rPr>
              <w:t xml:space="preserve">Se debe cambiar el </w:t>
            </w:r>
            <w:r w:rsidRPr="00B56B02">
              <w:rPr>
                <w:rFonts w:asciiTheme="majorHAnsi" w:eastAsia="Times New Roman" w:hAnsiTheme="majorHAnsi" w:cs="Times New Roman"/>
                <w:sz w:val="20"/>
                <w:szCs w:val="20"/>
                <w:lang w:eastAsia="es-GT"/>
              </w:rPr>
              <w:t>título</w:t>
            </w:r>
            <w:r w:rsidRPr="00B56B02">
              <w:rPr>
                <w:rFonts w:asciiTheme="majorHAnsi" w:eastAsia="Times New Roman" w:hAnsiTheme="majorHAnsi" w:cs="Times New Roman"/>
                <w:sz w:val="20"/>
                <w:szCs w:val="20"/>
                <w:lang w:eastAsia="es-GT"/>
              </w:rPr>
              <w:t xml:space="preserve"> al formato todavía establece enero-diciembre 2015.</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2F2FDE" w:rsidRPr="003A7371" w:rsidRDefault="00B56B0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B56B02" w:rsidP="00F742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B56B02">
              <w:rPr>
                <w:rFonts w:asciiTheme="majorHAnsi" w:eastAsia="Times New Roman" w:hAnsiTheme="majorHAnsi" w:cs="Times New Roman"/>
                <w:sz w:val="20"/>
                <w:szCs w:val="20"/>
                <w:lang w:eastAsia="es-GT"/>
              </w:rPr>
              <w:t>Los formatos que aparecen corresponden al año 2017.</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2F2FDE" w:rsidRPr="003A7371" w:rsidRDefault="0033519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00B56B02">
              <w:rPr>
                <w:rFonts w:asciiTheme="majorHAnsi" w:eastAsia="Times New Roman" w:hAnsiTheme="majorHAnsi" w:cs="Times New Roman"/>
                <w:sz w:val="20"/>
                <w:szCs w:val="20"/>
                <w:lang w:eastAsia="es-GT"/>
              </w:rPr>
              <w:t>o</w:t>
            </w:r>
          </w:p>
        </w:tc>
        <w:tc>
          <w:tcPr>
            <w:tcW w:w="5245" w:type="dxa"/>
          </w:tcPr>
          <w:p w:rsidR="002F2FDE" w:rsidRPr="003A7371" w:rsidRDefault="002F2FD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2F2FDE" w:rsidRPr="003A7371" w:rsidRDefault="00B56B02" w:rsidP="0033519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2F2FDE" w:rsidRPr="003A7371" w:rsidRDefault="002F2FDE"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B56B02">
              <w:rPr>
                <w:rFonts w:asciiTheme="majorHAnsi" w:eastAsia="Times New Roman" w:hAnsiTheme="majorHAnsi" w:cs="Times New Roman"/>
                <w:sz w:val="20"/>
                <w:szCs w:val="20"/>
                <w:lang w:eastAsia="es-GT"/>
              </w:rPr>
              <w:t>o</w:t>
            </w:r>
          </w:p>
        </w:tc>
        <w:tc>
          <w:tcPr>
            <w:tcW w:w="5245" w:type="dxa"/>
          </w:tcPr>
          <w:p w:rsidR="002F2FDE" w:rsidRPr="003A7371" w:rsidRDefault="00B56B02"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B56B02">
              <w:rPr>
                <w:rFonts w:asciiTheme="majorHAnsi" w:eastAsia="Times New Roman" w:hAnsiTheme="majorHAnsi" w:cs="Times New Roman"/>
                <w:sz w:val="20"/>
                <w:szCs w:val="20"/>
                <w:lang w:eastAsia="es-GT"/>
              </w:rPr>
              <w:t>La justificación es el año 2015 debe actualizarse de encontrarse en la misma situación.</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2F2FDE" w:rsidRPr="003A7371" w:rsidRDefault="00F65CB9"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00B56B02">
              <w:rPr>
                <w:rFonts w:asciiTheme="majorHAnsi" w:eastAsia="Times New Roman" w:hAnsiTheme="majorHAnsi" w:cs="Times New Roman"/>
                <w:sz w:val="20"/>
                <w:szCs w:val="20"/>
                <w:lang w:eastAsia="es-GT"/>
              </w:rPr>
              <w:t>o</w:t>
            </w:r>
          </w:p>
        </w:tc>
        <w:tc>
          <w:tcPr>
            <w:tcW w:w="5245" w:type="dxa"/>
          </w:tcPr>
          <w:p w:rsidR="002F2FDE" w:rsidRPr="003A7371" w:rsidRDefault="00B56B02" w:rsidP="00B56B02">
            <w:pPr>
              <w:tabs>
                <w:tab w:val="left" w:pos="954"/>
              </w:tabs>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B56B02">
              <w:rPr>
                <w:rFonts w:asciiTheme="majorHAnsi" w:eastAsia="Times New Roman" w:hAnsiTheme="majorHAnsi" w:cs="Times New Roman"/>
                <w:sz w:val="20"/>
                <w:szCs w:val="20"/>
                <w:lang w:eastAsia="es-GT"/>
              </w:rPr>
              <w:t>La justificación es el año 2015 debe actualizarse de encontrarse en la misma situación.</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w:t>
            </w:r>
            <w:r w:rsidR="00B56B02">
              <w:rPr>
                <w:rFonts w:asciiTheme="majorHAnsi" w:eastAsia="Times New Roman" w:hAnsiTheme="majorHAnsi" w:cs="Times New Roman"/>
                <w:sz w:val="20"/>
                <w:szCs w:val="20"/>
                <w:lang w:eastAsia="es-GT"/>
              </w:rPr>
              <w:t>o</w:t>
            </w:r>
          </w:p>
        </w:tc>
        <w:tc>
          <w:tcPr>
            <w:tcW w:w="5245" w:type="dxa"/>
          </w:tcPr>
          <w:p w:rsidR="002F2FDE" w:rsidRPr="003A7371" w:rsidRDefault="00B56B02" w:rsidP="00B56B02">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ab/>
            </w:r>
            <w:r w:rsidRPr="00B56B02">
              <w:rPr>
                <w:rFonts w:asciiTheme="majorHAnsi" w:eastAsia="Times New Roman" w:hAnsiTheme="majorHAnsi" w:cs="Times New Roman"/>
                <w:sz w:val="20"/>
                <w:szCs w:val="20"/>
                <w:lang w:eastAsia="es-GT"/>
              </w:rPr>
              <w:t>La justificación es el año 2015 debe actualizarse de encontrarse en la misma situación.</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2F2FDE" w:rsidRPr="003A7371" w:rsidRDefault="00F65CB9"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Si </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2F2FDE" w:rsidRPr="003A7371" w:rsidRDefault="00B56B0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F7426A"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F7426A">
              <w:rPr>
                <w:rFonts w:asciiTheme="majorHAnsi" w:eastAsia="Times New Roman" w:hAnsiTheme="majorHAnsi" w:cs="Times New Roman"/>
                <w:sz w:val="20"/>
                <w:szCs w:val="20"/>
                <w:lang w:eastAsia="es-GT"/>
              </w:rPr>
              <w:t>Falta la publicación de los contratos respectivos.</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2F2FDE" w:rsidRPr="003A7371" w:rsidRDefault="002F2FDE" w:rsidP="00F742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B56B02">
              <w:rPr>
                <w:rFonts w:asciiTheme="majorHAnsi" w:eastAsia="Times New Roman" w:hAnsiTheme="majorHAnsi" w:cs="Times New Roman"/>
                <w:sz w:val="20"/>
                <w:szCs w:val="20"/>
                <w:lang w:eastAsia="es-GT"/>
              </w:rPr>
              <w:t>o</w:t>
            </w:r>
          </w:p>
        </w:tc>
        <w:tc>
          <w:tcPr>
            <w:tcW w:w="5245" w:type="dxa"/>
          </w:tcPr>
          <w:p w:rsidR="002F2FDE" w:rsidRPr="003A7371" w:rsidRDefault="00B56B02"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B56B02">
              <w:rPr>
                <w:rFonts w:asciiTheme="majorHAnsi" w:eastAsia="Times New Roman" w:hAnsiTheme="majorHAnsi" w:cs="Times New Roman"/>
                <w:sz w:val="20"/>
                <w:szCs w:val="20"/>
                <w:lang w:eastAsia="es-GT"/>
              </w:rPr>
              <w:t>La justificación es el año 2015 debe actualizarse de encontrarse en la misma situación.</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22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2F2FDE" w:rsidRPr="003A7371" w:rsidRDefault="00F65CB9"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B56B02"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B56B02">
              <w:rPr>
                <w:rFonts w:asciiTheme="majorHAnsi" w:eastAsia="Times New Roman" w:hAnsiTheme="majorHAnsi" w:cs="Times New Roman"/>
                <w:sz w:val="20"/>
                <w:szCs w:val="20"/>
                <w:lang w:eastAsia="es-GT"/>
              </w:rPr>
              <w:t xml:space="preserve">En este listado no aparecen solamente las compras directas, sino el pago de servicios y los arrendamientos, se recomienda generar el informe de SIGES que </w:t>
            </w:r>
            <w:r w:rsidRPr="00B56B02">
              <w:rPr>
                <w:rFonts w:asciiTheme="majorHAnsi" w:eastAsia="Times New Roman" w:hAnsiTheme="majorHAnsi" w:cs="Times New Roman"/>
                <w:sz w:val="20"/>
                <w:szCs w:val="20"/>
                <w:lang w:eastAsia="es-GT"/>
              </w:rPr>
              <w:t>corresponda</w:t>
            </w:r>
            <w:r w:rsidRPr="00B56B02">
              <w:rPr>
                <w:rFonts w:asciiTheme="majorHAnsi" w:eastAsia="Times New Roman" w:hAnsiTheme="majorHAnsi" w:cs="Times New Roman"/>
                <w:sz w:val="20"/>
                <w:szCs w:val="20"/>
                <w:lang w:eastAsia="es-GT"/>
              </w:rPr>
              <w:t xml:space="preserve"> únicamente a las compras directas.</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2F2FDE" w:rsidRPr="003A7371" w:rsidRDefault="0033519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2F2FDE" w:rsidRPr="003A7371" w:rsidRDefault="00F65CB9"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B56B02"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B56B02">
              <w:rPr>
                <w:rFonts w:asciiTheme="majorHAnsi" w:eastAsia="Times New Roman" w:hAnsiTheme="majorHAnsi" w:cs="Times New Roman"/>
                <w:sz w:val="20"/>
                <w:szCs w:val="20"/>
                <w:lang w:eastAsia="es-GT"/>
              </w:rPr>
              <w:t>Se recomienda publicar la página completa del Diario Oficial donde se publicó.</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F65CB9"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tiene información reservada. </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2F2FDE" w:rsidRPr="003A7371" w:rsidRDefault="00B56B02"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B56B02"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B56B02">
              <w:rPr>
                <w:rFonts w:asciiTheme="majorHAnsi" w:eastAsia="Times New Roman" w:hAnsiTheme="majorHAnsi" w:cs="Times New Roman"/>
                <w:sz w:val="20"/>
                <w:szCs w:val="20"/>
                <w:lang w:eastAsia="es-GT"/>
              </w:rPr>
              <w:t>No tiene información cargada en este numera</w:t>
            </w:r>
            <w:r>
              <w:rPr>
                <w:rFonts w:asciiTheme="majorHAnsi" w:eastAsia="Times New Roman" w:hAnsiTheme="majorHAnsi" w:cs="Times New Roman"/>
                <w:sz w:val="20"/>
                <w:szCs w:val="20"/>
                <w:lang w:eastAsia="es-GT"/>
              </w:rPr>
              <w:t>l.</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2F2FDE" w:rsidRPr="003A7371" w:rsidRDefault="00B56B02"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2F2FDE" w:rsidRDefault="002F2FDE" w:rsidP="00DB4824">
      <w:pPr>
        <w:jc w:val="both"/>
        <w:rPr>
          <w:b/>
          <w:sz w:val="22"/>
          <w:szCs w:val="22"/>
        </w:rPr>
      </w:pPr>
    </w:p>
    <w:p w:rsidR="002F2FDE" w:rsidRDefault="002F2FDE" w:rsidP="00DB4824">
      <w:pPr>
        <w:jc w:val="both"/>
        <w:rPr>
          <w:b/>
          <w:sz w:val="22"/>
          <w:szCs w:val="22"/>
        </w:rPr>
      </w:pPr>
      <w:r>
        <w:rPr>
          <w:b/>
          <w:sz w:val="22"/>
          <w:szCs w:val="22"/>
        </w:rPr>
        <w:t>Artículo 11</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3A7371"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3A7371" w:rsidRPr="003A7371" w:rsidRDefault="003A7371"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3A7371" w:rsidRPr="003A7371" w:rsidRDefault="0033519A"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3A7371" w:rsidRPr="003A7371" w:rsidRDefault="0033519A"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Tablaconcuadrcula4-nfasis11"/>
        <w:tblW w:w="0" w:type="auto"/>
        <w:tblLayout w:type="fixed"/>
        <w:tblLook w:val="04A0" w:firstRow="1" w:lastRow="0" w:firstColumn="1" w:lastColumn="0" w:noHBand="0" w:noVBand="1"/>
      </w:tblPr>
      <w:tblGrid>
        <w:gridCol w:w="959"/>
        <w:gridCol w:w="2447"/>
        <w:gridCol w:w="1522"/>
        <w:gridCol w:w="5245"/>
      </w:tblGrid>
      <w:tr w:rsidR="002F2FDE"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el portal electrónico sea de fácil acceso a los usuarios</w:t>
            </w:r>
          </w:p>
        </w:tc>
        <w:tc>
          <w:tcPr>
            <w:tcW w:w="1522" w:type="dxa"/>
          </w:tcPr>
          <w:p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la información se ubique de forma ordenada</w:t>
            </w:r>
          </w:p>
        </w:tc>
        <w:tc>
          <w:tcPr>
            <w:tcW w:w="1522" w:type="dxa"/>
          </w:tcPr>
          <w:p w:rsidR="002F2FDE" w:rsidRPr="003A7371" w:rsidRDefault="002F2FD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33519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F2FDE">
              <w:rPr>
                <w:rFonts w:asciiTheme="majorHAnsi" w:eastAsia="Times New Roman" w:hAnsiTheme="majorHAnsi" w:cs="Times New Roman"/>
                <w:sz w:val="20"/>
                <w:szCs w:val="20"/>
                <w:lang w:eastAsia="es-GT"/>
              </w:rPr>
              <w:t>Que los formatos utilizados sean comprensibles y los programas compatibles</w:t>
            </w:r>
          </w:p>
        </w:tc>
        <w:tc>
          <w:tcPr>
            <w:tcW w:w="1522" w:type="dxa"/>
          </w:tcPr>
          <w:p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B56B02">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FFFF00"/>
          </w:tcPr>
          <w:p w:rsidR="002F2FDE" w:rsidRPr="003A7371" w:rsidRDefault="00B56B02"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70.73</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3A7371" w:rsidRDefault="003A7371"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7" w:name="_Toc536435700"/>
      <w:r w:rsidRPr="003A7371">
        <w:rPr>
          <w:rFonts w:asciiTheme="majorHAnsi" w:hAnsiTheme="majorHAnsi"/>
        </w:rPr>
        <w:t>Criterios de cumplimiento:</w:t>
      </w:r>
      <w:bookmarkEnd w:id="7"/>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6265F6" w:rsidRPr="003A7371" w:rsidRDefault="006265F6" w:rsidP="00DB4824">
      <w:pPr>
        <w:jc w:val="both"/>
        <w:rPr>
          <w:rFonts w:asciiTheme="majorHAnsi" w:hAnsiTheme="majorHAnsi" w:cs="Arial"/>
          <w:sz w:val="22"/>
          <w:szCs w:val="22"/>
        </w:rPr>
      </w:pPr>
      <w:bookmarkStart w:id="8" w:name="_Toc400533786"/>
    </w:p>
    <w:p w:rsidR="003A7371" w:rsidRPr="003A7371" w:rsidRDefault="003A7371" w:rsidP="00DB4824">
      <w:pPr>
        <w:jc w:val="both"/>
        <w:rPr>
          <w:rFonts w:asciiTheme="majorHAnsi" w:hAnsiTheme="majorHAnsi" w:cs="Arial"/>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9" w:name="_Toc536435701"/>
      <w:r w:rsidRPr="003A7371">
        <w:rPr>
          <w:rFonts w:asciiTheme="majorHAnsi" w:hAnsiTheme="majorHAnsi"/>
        </w:rPr>
        <w:t>Nivel de Cumplimiento:</w:t>
      </w:r>
      <w:bookmarkEnd w:id="9"/>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260E4E" w:rsidRPr="003A7371" w:rsidRDefault="00260E4E" w:rsidP="00DB4824">
      <w:pPr>
        <w:jc w:val="both"/>
        <w:rPr>
          <w:rFonts w:asciiTheme="majorHAnsi" w:hAnsiTheme="majorHAnsi" w:cs="Arial"/>
          <w:sz w:val="22"/>
          <w:szCs w:val="22"/>
        </w:rPr>
      </w:pPr>
    </w:p>
    <w:tbl>
      <w:tblPr>
        <w:tblW w:w="4746" w:type="dxa"/>
        <w:jc w:val="center"/>
        <w:tblCellMar>
          <w:left w:w="70" w:type="dxa"/>
          <w:right w:w="70" w:type="dxa"/>
        </w:tblCellMar>
        <w:tblLook w:val="04A0" w:firstRow="1" w:lastRow="0" w:firstColumn="1" w:lastColumn="0" w:noHBand="0" w:noVBand="1"/>
      </w:tblPr>
      <w:tblGrid>
        <w:gridCol w:w="1352"/>
        <w:gridCol w:w="475"/>
        <w:gridCol w:w="280"/>
        <w:gridCol w:w="848"/>
        <w:gridCol w:w="1821"/>
      </w:tblGrid>
      <w:tr w:rsidR="00DB4824" w:rsidRPr="003A7371" w:rsidTr="003A7371">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1821"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A7371">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w:t>
            </w:r>
            <w:proofErr w:type="spellStart"/>
            <w:r w:rsidRPr="003A7371">
              <w:rPr>
                <w:rFonts w:asciiTheme="majorHAnsi" w:eastAsia="Times New Roman" w:hAnsiTheme="majorHAnsi"/>
                <w:sz w:val="22"/>
                <w:szCs w:val="22"/>
                <w:lang w:eastAsia="es-GT"/>
              </w:rPr>
              <w:t>na</w:t>
            </w:r>
            <w:proofErr w:type="spellEnd"/>
          </w:p>
        </w:tc>
        <w:tc>
          <w:tcPr>
            <w:tcW w:w="1821"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3A7371">
        <w:trPr>
          <w:trHeight w:val="255"/>
          <w:jc w:val="center"/>
        </w:trPr>
        <w:tc>
          <w:tcPr>
            <w:tcW w:w="1328"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848" w:type="dxa"/>
            <w:tcBorders>
              <w:top w:val="nil"/>
              <w:left w:val="nil"/>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1821" w:type="dxa"/>
            <w:tcBorders>
              <w:top w:val="nil"/>
              <w:left w:val="nil"/>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r>
      <w:tr w:rsidR="00DB4824" w:rsidRPr="003A7371" w:rsidTr="003A7371">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Si</w:t>
            </w:r>
          </w:p>
        </w:tc>
      </w:tr>
      <w:tr w:rsidR="00DB4824" w:rsidRPr="003A7371" w:rsidTr="003A7371">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Parcial</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proofErr w:type="spellStart"/>
            <w:r w:rsidRPr="003A7371">
              <w:rPr>
                <w:rFonts w:asciiTheme="majorHAnsi" w:eastAsia="Times New Roman" w:hAnsiTheme="majorHAnsi"/>
                <w:b/>
                <w:bCs/>
                <w:sz w:val="22"/>
                <w:szCs w:val="22"/>
                <w:lang w:eastAsia="es-GT"/>
              </w:rPr>
              <w:t>na</w:t>
            </w:r>
            <w:proofErr w:type="spellEnd"/>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No aplica</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T</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proofErr w:type="gramStart"/>
            <w:r w:rsidRPr="003A7371">
              <w:rPr>
                <w:rFonts w:asciiTheme="majorHAnsi" w:eastAsia="Times New Roman" w:hAnsiTheme="majorHAnsi"/>
                <w:sz w:val="22"/>
                <w:szCs w:val="22"/>
                <w:lang w:eastAsia="es-GT"/>
              </w:rPr>
              <w:t>Total</w:t>
            </w:r>
            <w:proofErr w:type="gramEnd"/>
            <w:r w:rsidRPr="003A7371">
              <w:rPr>
                <w:rFonts w:asciiTheme="majorHAnsi" w:eastAsia="Times New Roman" w:hAnsiTheme="majorHAnsi"/>
                <w:sz w:val="22"/>
                <w:szCs w:val="22"/>
                <w:lang w:eastAsia="es-GT"/>
              </w:rPr>
              <w:t xml:space="preserve"> elementos a evaluar</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½</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3A7371">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100</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Para elevar a porcentaje</w:t>
            </w:r>
          </w:p>
        </w:tc>
      </w:tr>
      <w:tr w:rsidR="00DB4824" w:rsidRPr="003A7371" w:rsidTr="003A7371">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669" w:type="dxa"/>
            <w:gridSpan w:val="2"/>
            <w:tcBorders>
              <w:top w:val="nil"/>
              <w:left w:val="nil"/>
              <w:bottom w:val="single" w:sz="4" w:space="0" w:color="auto"/>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Nivel de cumplimiento</w:t>
            </w:r>
          </w:p>
        </w:tc>
      </w:tr>
    </w:tbl>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p w:rsidR="00260E4E" w:rsidRPr="003A7371" w:rsidRDefault="00260E4E" w:rsidP="00DB4824">
      <w:pPr>
        <w:jc w:val="both"/>
        <w:rPr>
          <w:rFonts w:asciiTheme="majorHAnsi" w:hAnsiTheme="majorHAnsi" w:cs="Arial"/>
          <w:sz w:val="22"/>
          <w:szCs w:val="22"/>
        </w:rPr>
      </w:pPr>
    </w:p>
    <w:tbl>
      <w:tblPr>
        <w:tblW w:w="4518" w:type="dxa"/>
        <w:jc w:val="center"/>
        <w:tblCellMar>
          <w:left w:w="70" w:type="dxa"/>
          <w:right w:w="70" w:type="dxa"/>
        </w:tblCellMar>
        <w:tblLook w:val="04A0" w:firstRow="1" w:lastRow="0" w:firstColumn="1" w:lastColumn="0" w:noHBand="0" w:noVBand="1"/>
      </w:tblPr>
      <w:tblGrid>
        <w:gridCol w:w="1338"/>
        <w:gridCol w:w="460"/>
        <w:gridCol w:w="280"/>
        <w:gridCol w:w="2440"/>
      </w:tblGrid>
      <w:tr w:rsidR="00DB4824" w:rsidRPr="003A7371" w:rsidTr="006265F6">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single" w:sz="4" w:space="0" w:color="auto"/>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xml:space="preserve">1 </w:t>
            </w:r>
            <w:proofErr w:type="gramStart"/>
            <w:r w:rsidRPr="003A7371">
              <w:rPr>
                <w:rFonts w:asciiTheme="majorHAnsi" w:eastAsia="Times New Roman" w:hAnsiTheme="majorHAnsi"/>
                <w:sz w:val="22"/>
                <w:szCs w:val="22"/>
                <w:lang w:eastAsia="es-GT"/>
              </w:rPr>
              <w:t>Punto</w:t>
            </w:r>
            <w:proofErr w:type="gramEnd"/>
          </w:p>
        </w:tc>
      </w:tr>
      <w:tr w:rsidR="00DB4824" w:rsidRPr="003A7371" w:rsidTr="006265F6">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0" w:type="dxa"/>
            <w:tcBorders>
              <w:top w:val="nil"/>
              <w:left w:val="nil"/>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bottom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0 puntos</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PARCIAL</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tcBorders>
              <w:top w:val="nil"/>
              <w:left w:val="nil"/>
              <w:right w:val="single" w:sz="4" w:space="0" w:color="000000"/>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Medio punto</w:t>
            </w:r>
          </w:p>
        </w:tc>
      </w:tr>
      <w:tr w:rsidR="00DB4824" w:rsidRPr="003A7371" w:rsidTr="006265F6">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3A7371" w:rsidRDefault="00DB4824" w:rsidP="006265F6">
            <w:pPr>
              <w:jc w:val="right"/>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NO APLICA</w:t>
            </w:r>
          </w:p>
        </w:tc>
        <w:tc>
          <w:tcPr>
            <w:tcW w:w="280" w:type="dxa"/>
            <w:tcBorders>
              <w:top w:val="nil"/>
              <w:left w:val="nil"/>
              <w:bottom w:val="nil"/>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2440" w:type="dxa"/>
            <w:vMerge w:val="restart"/>
            <w:tcBorders>
              <w:top w:val="nil"/>
              <w:left w:val="nil"/>
              <w:bottom w:val="single" w:sz="4" w:space="0" w:color="auto"/>
              <w:right w:val="single" w:sz="4" w:space="0" w:color="auto"/>
            </w:tcBorders>
            <w:shd w:val="clear" w:color="000000" w:fill="FFFFFF"/>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xml:space="preserve">Se exime </w:t>
            </w:r>
            <w:proofErr w:type="gramStart"/>
            <w:r w:rsidRPr="003A7371">
              <w:rPr>
                <w:rFonts w:asciiTheme="majorHAnsi" w:eastAsia="Times New Roman" w:hAnsiTheme="majorHAnsi"/>
                <w:sz w:val="22"/>
                <w:szCs w:val="22"/>
                <w:lang w:eastAsia="es-GT"/>
              </w:rPr>
              <w:t>de los elemento</w:t>
            </w:r>
            <w:proofErr w:type="gramEnd"/>
            <w:r w:rsidRPr="003A7371">
              <w:rPr>
                <w:rFonts w:asciiTheme="majorHAnsi" w:eastAsia="Times New Roman" w:hAnsiTheme="majorHAnsi"/>
                <w:sz w:val="22"/>
                <w:szCs w:val="22"/>
                <w:lang w:eastAsia="es-GT"/>
              </w:rPr>
              <w:t xml:space="preserve"> a evaluar</w:t>
            </w:r>
          </w:p>
        </w:tc>
      </w:tr>
      <w:tr w:rsidR="00DB4824" w:rsidRPr="003A7371" w:rsidTr="006265F6">
        <w:trPr>
          <w:trHeight w:val="255"/>
          <w:jc w:val="center"/>
        </w:trPr>
        <w:tc>
          <w:tcPr>
            <w:tcW w:w="1338" w:type="dxa"/>
            <w:tcBorders>
              <w:top w:val="nil"/>
              <w:left w:val="single" w:sz="4" w:space="0" w:color="auto"/>
              <w:bottom w:val="single" w:sz="4" w:space="0" w:color="auto"/>
              <w:right w:val="nil"/>
            </w:tcBorders>
            <w:shd w:val="clear" w:color="000000" w:fill="FFFFFF"/>
            <w:noWrap/>
            <w:vAlign w:val="bottom"/>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46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 </w:t>
            </w:r>
          </w:p>
        </w:tc>
        <w:tc>
          <w:tcPr>
            <w:tcW w:w="280" w:type="dxa"/>
            <w:tcBorders>
              <w:top w:val="nil"/>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 </w:t>
            </w:r>
          </w:p>
        </w:tc>
        <w:tc>
          <w:tcPr>
            <w:tcW w:w="2440" w:type="dxa"/>
            <w:vMerge/>
            <w:tcBorders>
              <w:top w:val="nil"/>
              <w:left w:val="nil"/>
              <w:bottom w:val="single" w:sz="4" w:space="0" w:color="auto"/>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bl>
    <w:p w:rsidR="00260E4E" w:rsidRDefault="00260E4E" w:rsidP="00907AB0">
      <w:pPr>
        <w:rPr>
          <w:sz w:val="22"/>
          <w:szCs w:val="22"/>
        </w:rPr>
      </w:pPr>
    </w:p>
    <w:p w:rsidR="006E39CA" w:rsidRPr="006265F6" w:rsidRDefault="006E39CA"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0" w:name="_Toc536435702"/>
      <w:r>
        <w:rPr>
          <w:rFonts w:asciiTheme="majorHAnsi" w:hAnsiTheme="majorHAnsi"/>
        </w:rPr>
        <w:t>R</w:t>
      </w:r>
      <w:r w:rsidRPr="006E39CA">
        <w:rPr>
          <w:rFonts w:asciiTheme="majorHAnsi" w:hAnsiTheme="majorHAnsi"/>
        </w:rPr>
        <w:t>ango de cumplimiento</w:t>
      </w:r>
      <w:bookmarkEnd w:id="8"/>
      <w:r>
        <w:rPr>
          <w:rFonts w:asciiTheme="majorHAnsi" w:hAnsiTheme="majorHAnsi"/>
        </w:rPr>
        <w:t>:</w:t>
      </w:r>
      <w:bookmarkEnd w:id="10"/>
    </w:p>
    <w:p w:rsidR="00DB4824" w:rsidRPr="003A7371" w:rsidRDefault="00DB4824" w:rsidP="003A7371">
      <w:pPr>
        <w:jc w:val="both"/>
        <w:rPr>
          <w:rFonts w:asciiTheme="majorHAnsi" w:hAnsiTheme="majorHAnsi" w:cs="Arial"/>
          <w:sz w:val="22"/>
          <w:szCs w:val="22"/>
        </w:rPr>
      </w:pPr>
      <w:bookmarkStart w:id="11" w:name="_Toc400530396"/>
      <w:bookmarkStart w:id="12" w:name="_Toc400530598"/>
      <w:bookmarkStart w:id="13"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1"/>
      <w:bookmarkEnd w:id="12"/>
      <w:bookmarkEnd w:id="13"/>
    </w:p>
    <w:p w:rsidR="00DB4824" w:rsidRPr="003A7371" w:rsidRDefault="00DB4824" w:rsidP="003A7371">
      <w:pPr>
        <w:jc w:val="both"/>
        <w:rPr>
          <w:rFonts w:asciiTheme="majorHAnsi" w:hAnsiTheme="majorHAnsi" w:cs="Arial"/>
          <w:sz w:val="22"/>
          <w:szCs w:val="22"/>
        </w:rPr>
      </w:pPr>
    </w:p>
    <w:tbl>
      <w:tblPr>
        <w:tblW w:w="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6265F6">
        <w:trPr>
          <w:trHeight w:val="645"/>
          <w:jc w:val="center"/>
        </w:trPr>
        <w:tc>
          <w:tcPr>
            <w:tcW w:w="1537"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6265F6">
        <w:trPr>
          <w:trHeight w:val="332"/>
          <w:jc w:val="center"/>
        </w:trPr>
        <w:tc>
          <w:tcPr>
            <w:tcW w:w="1537"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Pr="006265F6" w:rsidRDefault="00DB4824" w:rsidP="00DB4824">
      <w:pPr>
        <w:jc w:val="both"/>
        <w:rPr>
          <w:rFonts w:cs="Arial"/>
          <w:sz w:val="22"/>
          <w:szCs w:val="22"/>
        </w:rPr>
      </w:pPr>
    </w:p>
    <w:p w:rsidR="00AF67EB" w:rsidRPr="006265F6" w:rsidRDefault="00AF67EB" w:rsidP="00907AB0">
      <w:pPr>
        <w:pStyle w:val="Ttulo1"/>
        <w:spacing w:before="0" w:beforeAutospacing="0" w:after="0" w:afterAutospacing="0"/>
        <w:rPr>
          <w:rFonts w:asciiTheme="minorHAnsi" w:eastAsia="Arial Unicode MS" w:hAnsiTheme="minorHAnsi"/>
          <w:color w:val="auto"/>
          <w:sz w:val="22"/>
          <w:szCs w:val="22"/>
        </w:rPr>
      </w:pPr>
    </w:p>
    <w:p w:rsidR="00D20923" w:rsidRPr="006E39CA" w:rsidRDefault="00D20923" w:rsidP="00D20923">
      <w:pPr>
        <w:pStyle w:val="Ttulo1"/>
        <w:spacing w:before="0" w:beforeAutospacing="0" w:after="0" w:afterAutospacing="0"/>
        <w:rPr>
          <w:rFonts w:asciiTheme="majorHAnsi" w:hAnsiTheme="majorHAnsi"/>
        </w:rPr>
      </w:pPr>
      <w:bookmarkStart w:id="14" w:name="_Toc535499522"/>
      <w:bookmarkStart w:id="15" w:name="_Toc536435703"/>
      <w:r>
        <w:rPr>
          <w:rFonts w:asciiTheme="majorHAnsi" w:hAnsiTheme="majorHAnsi"/>
        </w:rPr>
        <w:t>C</w:t>
      </w:r>
      <w:r w:rsidRPr="006E39CA">
        <w:rPr>
          <w:rFonts w:asciiTheme="majorHAnsi" w:hAnsiTheme="majorHAnsi"/>
        </w:rPr>
        <w:t>onclusiones</w:t>
      </w:r>
      <w:r>
        <w:rPr>
          <w:rFonts w:asciiTheme="majorHAnsi" w:hAnsiTheme="majorHAnsi"/>
        </w:rPr>
        <w:t>:</w:t>
      </w:r>
      <w:bookmarkEnd w:id="14"/>
      <w:bookmarkEnd w:id="15"/>
    </w:p>
    <w:p w:rsidR="00D20923" w:rsidRPr="0096045B" w:rsidRDefault="00B56B02" w:rsidP="00D20923">
      <w:pPr>
        <w:jc w:val="both"/>
        <w:rPr>
          <w:rFonts w:ascii="Calibri Light" w:hAnsi="Calibri Light"/>
          <w:sz w:val="22"/>
          <w:szCs w:val="22"/>
        </w:rPr>
      </w:pPr>
      <w:r>
        <w:rPr>
          <w:rFonts w:ascii="Calibri Light" w:hAnsi="Calibri Light"/>
          <w:sz w:val="22"/>
          <w:szCs w:val="22"/>
          <w:lang w:val="es-GT"/>
        </w:rPr>
        <w:t>No e</w:t>
      </w:r>
      <w:proofErr w:type="spellStart"/>
      <w:r w:rsidR="00D20923" w:rsidRPr="0096045B">
        <w:rPr>
          <w:rFonts w:ascii="Calibri Light" w:hAnsi="Calibri Light"/>
          <w:sz w:val="22"/>
          <w:szCs w:val="22"/>
        </w:rPr>
        <w:t>x</w:t>
      </w:r>
      <w:r w:rsidR="003F6088">
        <w:rPr>
          <w:rFonts w:ascii="Calibri Light" w:hAnsi="Calibri Light"/>
          <w:sz w:val="22"/>
          <w:szCs w:val="22"/>
        </w:rPr>
        <w:t>iste</w:t>
      </w:r>
      <w:proofErr w:type="spellEnd"/>
      <w:r w:rsidR="00D20923" w:rsidRPr="0096045B">
        <w:rPr>
          <w:rFonts w:ascii="Calibri Light" w:hAnsi="Calibri Light"/>
          <w:sz w:val="22"/>
          <w:szCs w:val="22"/>
        </w:rPr>
        <w:t xml:space="preserve"> un cumplimiento aceptable de la información pública de oficio de acuerdo con la metodología manejada y explicada en el apartado anterior. Por lo qu</w:t>
      </w:r>
      <w:r w:rsidR="00D20923">
        <w:rPr>
          <w:rFonts w:ascii="Calibri Light" w:hAnsi="Calibri Light"/>
          <w:sz w:val="22"/>
          <w:szCs w:val="22"/>
        </w:rPr>
        <w:t xml:space="preserve">e es importante que se atiendan </w:t>
      </w:r>
      <w:r w:rsidR="00D20923" w:rsidRPr="0096045B">
        <w:rPr>
          <w:rFonts w:ascii="Calibri Light" w:hAnsi="Calibri Light"/>
          <w:sz w:val="22"/>
          <w:szCs w:val="22"/>
        </w:rPr>
        <w:t xml:space="preserve">los hallazgos presentados en la tabla contenida en este informe para lograr alcanzar el cumplimiento total del mismo. </w:t>
      </w:r>
    </w:p>
    <w:p w:rsidR="00D20923" w:rsidRPr="0096045B" w:rsidRDefault="00D20923" w:rsidP="00D20923">
      <w:pPr>
        <w:jc w:val="both"/>
        <w:rPr>
          <w:rFonts w:ascii="Calibri Light" w:hAnsi="Calibri Light" w:cs="Arial"/>
          <w:sz w:val="22"/>
          <w:szCs w:val="22"/>
        </w:rPr>
      </w:pPr>
    </w:p>
    <w:p w:rsidR="00D20923" w:rsidRPr="0096045B" w:rsidRDefault="00D20923" w:rsidP="00D20923">
      <w:pPr>
        <w:jc w:val="both"/>
        <w:rPr>
          <w:rFonts w:ascii="Calibri Light" w:hAnsi="Calibri Light" w:cs="Arial"/>
          <w:sz w:val="22"/>
          <w:szCs w:val="22"/>
        </w:rPr>
      </w:pPr>
      <w:r>
        <w:rPr>
          <w:rFonts w:ascii="Calibri Light" w:hAnsi="Calibri Light" w:cs="Arial"/>
          <w:sz w:val="22"/>
          <w:szCs w:val="22"/>
        </w:rPr>
        <w:t>Puesto que</w:t>
      </w:r>
      <w:r w:rsidRPr="0096045B">
        <w:rPr>
          <w:rFonts w:ascii="Calibri Light" w:hAnsi="Calibri Light" w:cs="Arial"/>
          <w:sz w:val="22"/>
          <w:szCs w:val="22"/>
        </w:rPr>
        <w:t xml:space="preserve">, la totalidad de aspectos son exigidos por la Ley y constituyen la información mínima que debe estar publicada y disponible en las unidades de información pública para consulta de los interesados. </w:t>
      </w:r>
    </w:p>
    <w:p w:rsidR="00D20923" w:rsidRPr="0096045B" w:rsidRDefault="00D20923" w:rsidP="00D20923">
      <w:pPr>
        <w:jc w:val="both"/>
        <w:rPr>
          <w:rFonts w:ascii="Calibri Light" w:hAnsi="Calibri Light" w:cs="Arial"/>
          <w:sz w:val="22"/>
          <w:szCs w:val="22"/>
        </w:rPr>
      </w:pPr>
    </w:p>
    <w:p w:rsidR="00D20923" w:rsidRDefault="00D20923" w:rsidP="00D20923">
      <w:pPr>
        <w:jc w:val="both"/>
        <w:rPr>
          <w:rFonts w:ascii="Calibri Light" w:hAnsi="Calibri Light" w:cs="Arial"/>
          <w:sz w:val="22"/>
          <w:szCs w:val="22"/>
        </w:rPr>
      </w:pPr>
      <w:r w:rsidRPr="0096045B">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B56B02" w:rsidRDefault="00B56B02" w:rsidP="00D20923">
      <w:pPr>
        <w:jc w:val="both"/>
        <w:rPr>
          <w:rFonts w:ascii="Calibri Light" w:hAnsi="Calibri Light" w:cs="Arial"/>
          <w:sz w:val="22"/>
          <w:szCs w:val="22"/>
        </w:rPr>
      </w:pPr>
    </w:p>
    <w:p w:rsidR="00B56B02" w:rsidRDefault="00B56B02" w:rsidP="00D20923">
      <w:pPr>
        <w:jc w:val="both"/>
        <w:rPr>
          <w:rFonts w:ascii="Calibri Light" w:hAnsi="Calibri Light" w:cs="Arial"/>
          <w:sz w:val="22"/>
          <w:szCs w:val="22"/>
        </w:rPr>
      </w:pPr>
    </w:p>
    <w:p w:rsidR="00B56B02" w:rsidRPr="0096045B" w:rsidRDefault="00B56B02" w:rsidP="00D20923">
      <w:pPr>
        <w:jc w:val="both"/>
        <w:rPr>
          <w:rFonts w:ascii="Calibri Light" w:hAnsi="Calibri Light" w:cs="Arial"/>
          <w:sz w:val="22"/>
          <w:szCs w:val="22"/>
        </w:rPr>
      </w:pPr>
      <w:bookmarkStart w:id="16" w:name="_GoBack"/>
      <w:bookmarkEnd w:id="16"/>
    </w:p>
    <w:p w:rsidR="00D20923" w:rsidRPr="0096045B" w:rsidRDefault="00D20923" w:rsidP="00D20923">
      <w:pPr>
        <w:jc w:val="both"/>
        <w:rPr>
          <w:rFonts w:ascii="Calibri Light" w:hAnsi="Calibri Light" w:cs="Arial"/>
          <w:sz w:val="22"/>
          <w:szCs w:val="22"/>
        </w:rPr>
      </w:pPr>
    </w:p>
    <w:p w:rsidR="00D20923" w:rsidRPr="006E39CA" w:rsidRDefault="00D20923" w:rsidP="00D20923">
      <w:pPr>
        <w:pStyle w:val="Ttulo1"/>
        <w:spacing w:before="0" w:beforeAutospacing="0" w:after="0" w:afterAutospacing="0"/>
        <w:rPr>
          <w:rFonts w:asciiTheme="majorHAnsi" w:hAnsiTheme="majorHAnsi"/>
        </w:rPr>
      </w:pPr>
      <w:bookmarkStart w:id="17" w:name="_Toc535499523"/>
      <w:bookmarkStart w:id="18" w:name="_Toc536435704"/>
      <w:r w:rsidRPr="006E39CA">
        <w:rPr>
          <w:rFonts w:asciiTheme="majorHAnsi" w:hAnsiTheme="majorHAnsi"/>
        </w:rPr>
        <w:lastRenderedPageBreak/>
        <w:t>Recomendaciones</w:t>
      </w:r>
      <w:r>
        <w:rPr>
          <w:rFonts w:asciiTheme="majorHAnsi" w:hAnsiTheme="majorHAnsi"/>
        </w:rPr>
        <w:t>:</w:t>
      </w:r>
      <w:bookmarkEnd w:id="17"/>
      <w:bookmarkEnd w:id="18"/>
    </w:p>
    <w:p w:rsidR="00D20923" w:rsidRPr="0096045B" w:rsidRDefault="00D20923" w:rsidP="00D20923">
      <w:pPr>
        <w:pStyle w:val="Ttulo1"/>
        <w:spacing w:before="0" w:beforeAutospacing="0" w:after="0" w:afterAutospacing="0"/>
        <w:rPr>
          <w:rFonts w:ascii="Calibri Light" w:hAnsi="Calibri Light" w:cs="Arial"/>
          <w:sz w:val="22"/>
          <w:szCs w:val="22"/>
          <w:lang w:val="es-ES_tradnl"/>
        </w:rPr>
      </w:pPr>
    </w:p>
    <w:p w:rsidR="00B56B02" w:rsidRPr="0096045B" w:rsidRDefault="00B56B02" w:rsidP="00B56B02">
      <w:pPr>
        <w:pStyle w:val="Prrafodelista"/>
        <w:numPr>
          <w:ilvl w:val="0"/>
          <w:numId w:val="10"/>
        </w:numPr>
        <w:spacing w:after="0"/>
        <w:rPr>
          <w:rFonts w:ascii="Calibri Light" w:hAnsi="Calibri Light" w:cs="Arial"/>
        </w:rPr>
      </w:pPr>
      <w:r w:rsidRPr="0096045B">
        <w:rPr>
          <w:rFonts w:ascii="Calibri Light" w:hAnsi="Calibri Light" w:cs="Arial"/>
        </w:rPr>
        <w:t>El cumplimiento en general es bajo, por lo que es importante evaluar el desempeño de los responsables de la Unidad de Acceso a la Información y sus enlaces para la publicación de la información de oficio de los artículos 10 y 11, debiendo establecer un plan de acción que asegure que en el corto plazo la ley será cumplida atendiendo el principio de máxima publicidad.</w:t>
      </w:r>
    </w:p>
    <w:p w:rsidR="00B56B02" w:rsidRPr="0096045B" w:rsidRDefault="00B56B02" w:rsidP="00B56B02">
      <w:pPr>
        <w:pStyle w:val="Ttulo1"/>
        <w:spacing w:before="0" w:beforeAutospacing="0" w:after="0" w:afterAutospacing="0"/>
        <w:rPr>
          <w:rFonts w:ascii="Calibri Light" w:hAnsi="Calibri Light" w:cs="Arial"/>
          <w:sz w:val="22"/>
          <w:szCs w:val="22"/>
          <w:lang w:val="es-ES_tradnl"/>
        </w:rPr>
      </w:pPr>
    </w:p>
    <w:p w:rsidR="00B56B02" w:rsidRPr="0096045B" w:rsidRDefault="00B56B02" w:rsidP="00B56B02">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p>
    <w:p w:rsidR="00B56B02" w:rsidRPr="0096045B" w:rsidRDefault="00B56B02" w:rsidP="00B56B02">
      <w:pPr>
        <w:rPr>
          <w:rFonts w:ascii="Calibri Light" w:hAnsi="Calibri Light" w:cs="Arial"/>
          <w:sz w:val="22"/>
          <w:szCs w:val="22"/>
        </w:rPr>
      </w:pPr>
    </w:p>
    <w:p w:rsidR="00B56B02" w:rsidRPr="0096045B" w:rsidRDefault="00B56B02" w:rsidP="00B56B02">
      <w:pPr>
        <w:pStyle w:val="Prrafodelista"/>
        <w:numPr>
          <w:ilvl w:val="0"/>
          <w:numId w:val="9"/>
        </w:numPr>
        <w:spacing w:after="0"/>
        <w:rPr>
          <w:rFonts w:ascii="Calibri Light" w:hAnsi="Calibri Light" w:cs="Arial"/>
        </w:rPr>
      </w:pPr>
      <w:r w:rsidRPr="0096045B">
        <w:rPr>
          <w:rFonts w:ascii="Calibri Light" w:hAnsi="Calibri Light" w:cs="Arial"/>
        </w:rPr>
        <w:t>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del sujeto algunas de las obligaciones de publicación de información de oficio no correspondan, deberá especificarlo.</w:t>
      </w:r>
    </w:p>
    <w:p w:rsidR="00B56B02" w:rsidRPr="0096045B" w:rsidRDefault="00B56B02" w:rsidP="00B56B02">
      <w:pPr>
        <w:rPr>
          <w:rFonts w:ascii="Calibri Light" w:hAnsi="Calibri Light" w:cs="Arial"/>
          <w:sz w:val="22"/>
          <w:szCs w:val="22"/>
        </w:rPr>
      </w:pPr>
    </w:p>
    <w:p w:rsidR="00B56B02" w:rsidRPr="0096045B" w:rsidRDefault="00B56B02" w:rsidP="00B56B0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p w:rsidR="00B56B02" w:rsidRPr="003A7371" w:rsidRDefault="00B56B02" w:rsidP="00B56B02">
      <w:pPr>
        <w:jc w:val="both"/>
        <w:rPr>
          <w:rFonts w:asciiTheme="majorHAnsi" w:hAnsiTheme="majorHAnsi" w:cs="Arial"/>
          <w:sz w:val="22"/>
          <w:szCs w:val="22"/>
        </w:rPr>
      </w:pPr>
    </w:p>
    <w:p w:rsidR="00DB4824" w:rsidRPr="00D20923" w:rsidRDefault="00DB4824" w:rsidP="00D20923">
      <w:pPr>
        <w:pStyle w:val="Ttulo1"/>
        <w:spacing w:before="0" w:beforeAutospacing="0" w:after="0" w:afterAutospacing="0"/>
        <w:rPr>
          <w:rFonts w:asciiTheme="majorHAnsi" w:hAnsiTheme="majorHAnsi" w:cs="Arial"/>
          <w:sz w:val="22"/>
          <w:szCs w:val="22"/>
          <w:lang w:val="es-ES_tradnl"/>
        </w:rPr>
      </w:pPr>
    </w:p>
    <w:sectPr w:rsidR="00DB4824" w:rsidRPr="00D20923"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0E3" w:rsidRDefault="006840E3" w:rsidP="00173CB7">
      <w:r>
        <w:separator/>
      </w:r>
    </w:p>
  </w:endnote>
  <w:endnote w:type="continuationSeparator" w:id="0">
    <w:p w:rsidR="006840E3" w:rsidRDefault="006840E3"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A4307E" w:rsidRPr="00A4307E">
          <w:rPr>
            <w:noProof/>
            <w:lang w:val="es-ES"/>
          </w:rPr>
          <w:t>3</w:t>
        </w:r>
        <w:r>
          <w:fldChar w:fldCharType="end"/>
        </w:r>
      </w:p>
    </w:sdtContent>
  </w:sdt>
  <w:p w:rsidR="008A49ED" w:rsidRDefault="008A4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0E3" w:rsidRDefault="006840E3" w:rsidP="00173CB7">
      <w:r>
        <w:separator/>
      </w:r>
    </w:p>
  </w:footnote>
  <w:footnote w:type="continuationSeparator" w:id="0">
    <w:p w:rsidR="006840E3" w:rsidRDefault="006840E3"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2.65pt;height:34.3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1730"/>
    <w:rsid w:val="000412B2"/>
    <w:rsid w:val="000672DF"/>
    <w:rsid w:val="00075B2F"/>
    <w:rsid w:val="0008001A"/>
    <w:rsid w:val="0008329A"/>
    <w:rsid w:val="000A4E33"/>
    <w:rsid w:val="000B4379"/>
    <w:rsid w:val="000C1C89"/>
    <w:rsid w:val="000C74E6"/>
    <w:rsid w:val="000F6653"/>
    <w:rsid w:val="000F7253"/>
    <w:rsid w:val="00105CCE"/>
    <w:rsid w:val="0013067B"/>
    <w:rsid w:val="00141341"/>
    <w:rsid w:val="00154535"/>
    <w:rsid w:val="00166701"/>
    <w:rsid w:val="0017080C"/>
    <w:rsid w:val="00173CB7"/>
    <w:rsid w:val="00191D0A"/>
    <w:rsid w:val="00197444"/>
    <w:rsid w:val="001A09B4"/>
    <w:rsid w:val="001A1EC7"/>
    <w:rsid w:val="001C1A1F"/>
    <w:rsid w:val="001D2136"/>
    <w:rsid w:val="001E0E2F"/>
    <w:rsid w:val="00201579"/>
    <w:rsid w:val="00231AC2"/>
    <w:rsid w:val="00260E4E"/>
    <w:rsid w:val="002618DC"/>
    <w:rsid w:val="00297983"/>
    <w:rsid w:val="002A65EC"/>
    <w:rsid w:val="002F2A53"/>
    <w:rsid w:val="002F2FDE"/>
    <w:rsid w:val="002F78F1"/>
    <w:rsid w:val="0031393F"/>
    <w:rsid w:val="0033519A"/>
    <w:rsid w:val="003930D7"/>
    <w:rsid w:val="003A7371"/>
    <w:rsid w:val="003B529E"/>
    <w:rsid w:val="003D2DD5"/>
    <w:rsid w:val="003F6088"/>
    <w:rsid w:val="00407CFD"/>
    <w:rsid w:val="0041711B"/>
    <w:rsid w:val="004217F7"/>
    <w:rsid w:val="00443A2B"/>
    <w:rsid w:val="00444C1D"/>
    <w:rsid w:val="00445017"/>
    <w:rsid w:val="00450F53"/>
    <w:rsid w:val="00460FE1"/>
    <w:rsid w:val="00486C7F"/>
    <w:rsid w:val="00490636"/>
    <w:rsid w:val="00493D1A"/>
    <w:rsid w:val="0049533D"/>
    <w:rsid w:val="004D4907"/>
    <w:rsid w:val="004D607D"/>
    <w:rsid w:val="00507AEE"/>
    <w:rsid w:val="00510154"/>
    <w:rsid w:val="00510F1D"/>
    <w:rsid w:val="005168CD"/>
    <w:rsid w:val="00540AF6"/>
    <w:rsid w:val="0056030C"/>
    <w:rsid w:val="00580600"/>
    <w:rsid w:val="005E4B29"/>
    <w:rsid w:val="005E679A"/>
    <w:rsid w:val="005F7911"/>
    <w:rsid w:val="00613D0B"/>
    <w:rsid w:val="006265F6"/>
    <w:rsid w:val="00630CC0"/>
    <w:rsid w:val="0063204C"/>
    <w:rsid w:val="00632D7A"/>
    <w:rsid w:val="00640ACC"/>
    <w:rsid w:val="00674042"/>
    <w:rsid w:val="00683BD6"/>
    <w:rsid w:val="006840E3"/>
    <w:rsid w:val="006B62B6"/>
    <w:rsid w:val="006C514B"/>
    <w:rsid w:val="006E39CA"/>
    <w:rsid w:val="006F7EA7"/>
    <w:rsid w:val="00702D23"/>
    <w:rsid w:val="00707701"/>
    <w:rsid w:val="007305E6"/>
    <w:rsid w:val="007463B9"/>
    <w:rsid w:val="007836CA"/>
    <w:rsid w:val="007A0414"/>
    <w:rsid w:val="007A5411"/>
    <w:rsid w:val="007C0B70"/>
    <w:rsid w:val="007C0FC5"/>
    <w:rsid w:val="007C6CAA"/>
    <w:rsid w:val="00802F1C"/>
    <w:rsid w:val="008032D8"/>
    <w:rsid w:val="00833125"/>
    <w:rsid w:val="00834F8E"/>
    <w:rsid w:val="0083690A"/>
    <w:rsid w:val="0085360F"/>
    <w:rsid w:val="00855A16"/>
    <w:rsid w:val="0086024C"/>
    <w:rsid w:val="008608E3"/>
    <w:rsid w:val="00871FC1"/>
    <w:rsid w:val="0089066B"/>
    <w:rsid w:val="008A49ED"/>
    <w:rsid w:val="008C0812"/>
    <w:rsid w:val="008D0DCF"/>
    <w:rsid w:val="008D0F51"/>
    <w:rsid w:val="008D2C3E"/>
    <w:rsid w:val="008E3160"/>
    <w:rsid w:val="008F4AEE"/>
    <w:rsid w:val="00907AB0"/>
    <w:rsid w:val="00925878"/>
    <w:rsid w:val="00935A5E"/>
    <w:rsid w:val="00950437"/>
    <w:rsid w:val="009545BA"/>
    <w:rsid w:val="00965210"/>
    <w:rsid w:val="00973262"/>
    <w:rsid w:val="0098153F"/>
    <w:rsid w:val="009B20C1"/>
    <w:rsid w:val="009B4D87"/>
    <w:rsid w:val="009D282B"/>
    <w:rsid w:val="009F08B0"/>
    <w:rsid w:val="00A008D6"/>
    <w:rsid w:val="00A05029"/>
    <w:rsid w:val="00A13CD6"/>
    <w:rsid w:val="00A27CEE"/>
    <w:rsid w:val="00A27FDD"/>
    <w:rsid w:val="00A4307E"/>
    <w:rsid w:val="00A6247E"/>
    <w:rsid w:val="00A63F2B"/>
    <w:rsid w:val="00A70D2F"/>
    <w:rsid w:val="00A72346"/>
    <w:rsid w:val="00A9689B"/>
    <w:rsid w:val="00AA47B3"/>
    <w:rsid w:val="00AA7218"/>
    <w:rsid w:val="00AB1F54"/>
    <w:rsid w:val="00AD37F9"/>
    <w:rsid w:val="00AD6366"/>
    <w:rsid w:val="00AF67EB"/>
    <w:rsid w:val="00B120A9"/>
    <w:rsid w:val="00B46F7C"/>
    <w:rsid w:val="00B51DA2"/>
    <w:rsid w:val="00B56B02"/>
    <w:rsid w:val="00B718A1"/>
    <w:rsid w:val="00B87A30"/>
    <w:rsid w:val="00B95BCB"/>
    <w:rsid w:val="00B96BD2"/>
    <w:rsid w:val="00BA4597"/>
    <w:rsid w:val="00BC49D8"/>
    <w:rsid w:val="00BC5AFD"/>
    <w:rsid w:val="00BE696C"/>
    <w:rsid w:val="00BF37AD"/>
    <w:rsid w:val="00C055B4"/>
    <w:rsid w:val="00C40722"/>
    <w:rsid w:val="00C4099A"/>
    <w:rsid w:val="00C6658B"/>
    <w:rsid w:val="00C67ACB"/>
    <w:rsid w:val="00C67F38"/>
    <w:rsid w:val="00C918E8"/>
    <w:rsid w:val="00C92387"/>
    <w:rsid w:val="00C94BD4"/>
    <w:rsid w:val="00CA242E"/>
    <w:rsid w:val="00CA258A"/>
    <w:rsid w:val="00CB43F0"/>
    <w:rsid w:val="00CC0A55"/>
    <w:rsid w:val="00D20375"/>
    <w:rsid w:val="00D20923"/>
    <w:rsid w:val="00D23B33"/>
    <w:rsid w:val="00D64D8C"/>
    <w:rsid w:val="00D71B0D"/>
    <w:rsid w:val="00D901A4"/>
    <w:rsid w:val="00D92274"/>
    <w:rsid w:val="00DA4766"/>
    <w:rsid w:val="00DA7E48"/>
    <w:rsid w:val="00DB4824"/>
    <w:rsid w:val="00DC59A9"/>
    <w:rsid w:val="00DD5B1F"/>
    <w:rsid w:val="00DD7A8E"/>
    <w:rsid w:val="00DE0FC8"/>
    <w:rsid w:val="00DE7B04"/>
    <w:rsid w:val="00DF2F39"/>
    <w:rsid w:val="00E41CE4"/>
    <w:rsid w:val="00E455C0"/>
    <w:rsid w:val="00E52EC4"/>
    <w:rsid w:val="00E6326F"/>
    <w:rsid w:val="00E831C5"/>
    <w:rsid w:val="00EC0A78"/>
    <w:rsid w:val="00ED13A6"/>
    <w:rsid w:val="00EF59C1"/>
    <w:rsid w:val="00F23B6D"/>
    <w:rsid w:val="00F54E9A"/>
    <w:rsid w:val="00F65C77"/>
    <w:rsid w:val="00F65CB9"/>
    <w:rsid w:val="00F71867"/>
    <w:rsid w:val="00F7426A"/>
    <w:rsid w:val="00F771DE"/>
    <w:rsid w:val="00FA7DB0"/>
    <w:rsid w:val="00FB0555"/>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33DAD"/>
  <w14:defaultImageDpi w14:val="32767"/>
  <w15:docId w15:val="{637F93F1-DA6D-4FF5-AA13-90228960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8720-E1D6-44D2-BC42-83815857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1918</Words>
  <Characters>10551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7</cp:revision>
  <cp:lastPrinted>2019-01-15T23:08:00Z</cp:lastPrinted>
  <dcterms:created xsi:type="dcterms:W3CDTF">2019-01-24T17:48:00Z</dcterms:created>
  <dcterms:modified xsi:type="dcterms:W3CDTF">2019-01-28T17:08:00Z</dcterms:modified>
</cp:coreProperties>
</file>