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w:t>
      </w:r>
      <w:r w:rsidR="001C354C">
        <w:rPr>
          <w:rFonts w:eastAsia="Times New Roman" w:cs="Times New Roman"/>
          <w:color w:val="17365D"/>
          <w:spacing w:val="5"/>
          <w:kern w:val="28"/>
          <w:sz w:val="40"/>
        </w:rPr>
        <w:t xml:space="preserve"> de la </w:t>
      </w:r>
      <w:r w:rsidR="00392AF3" w:rsidRPr="00392AF3">
        <w:rPr>
          <w:rFonts w:eastAsia="Times New Roman" w:cs="Times New Roman"/>
          <w:bCs/>
          <w:color w:val="17365D"/>
          <w:spacing w:val="5"/>
          <w:kern w:val="28"/>
          <w:sz w:val="40"/>
          <w:lang w:val="es-GT"/>
        </w:rPr>
        <w:t xml:space="preserve">Asociación Deportiva Nacional </w:t>
      </w:r>
      <w:r w:rsidR="00392AF3">
        <w:rPr>
          <w:rFonts w:eastAsia="Times New Roman" w:cs="Times New Roman"/>
          <w:bCs/>
          <w:color w:val="17365D"/>
          <w:spacing w:val="5"/>
          <w:kern w:val="28"/>
          <w:sz w:val="40"/>
          <w:lang w:val="es-GT"/>
        </w:rPr>
        <w:t>d</w:t>
      </w:r>
      <w:r w:rsidR="00392AF3" w:rsidRPr="00392AF3">
        <w:rPr>
          <w:rFonts w:eastAsia="Times New Roman" w:cs="Times New Roman"/>
          <w:bCs/>
          <w:color w:val="17365D"/>
          <w:spacing w:val="5"/>
          <w:kern w:val="28"/>
          <w:sz w:val="40"/>
          <w:lang w:val="es-GT"/>
        </w:rPr>
        <w:t>e Hockey</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392AF3">
        <w:rPr>
          <w:sz w:val="36"/>
          <w:szCs w:val="100"/>
        </w:rPr>
        <w:t>juli</w:t>
      </w:r>
      <w:r w:rsidR="00E576B5">
        <w:rPr>
          <w:sz w:val="36"/>
          <w:szCs w:val="100"/>
        </w:rPr>
        <w: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F7878">
              <w:rPr>
                <w:noProof/>
                <w:webHidden/>
              </w:rPr>
              <w:t>2</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CD2E9C">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08093C" w:rsidRPr="0008093C">
        <w:rPr>
          <w:rFonts w:asciiTheme="majorHAnsi" w:hAnsiTheme="majorHAnsi" w:cs="Arial"/>
          <w:b/>
          <w:bCs/>
          <w:sz w:val="22"/>
          <w:szCs w:val="22"/>
          <w:lang w:val="es-GT"/>
        </w:rPr>
        <w:t>Asociación Deportiva Nacional de Hockey</w:t>
      </w:r>
      <w:r w:rsidR="0008093C" w:rsidRPr="0008093C">
        <w:rPr>
          <w:rFonts w:asciiTheme="majorHAnsi" w:hAnsiTheme="majorHAnsi" w:cs="Arial"/>
          <w:b/>
          <w:bCs/>
          <w:sz w:val="22"/>
          <w:szCs w:val="22"/>
          <w:lang w:val="es-GT"/>
        </w:rPr>
        <w:t xml:space="preserve"> </w:t>
      </w:r>
      <w:r w:rsidRPr="00C4099A">
        <w:rPr>
          <w:rFonts w:asciiTheme="majorHAnsi" w:hAnsiTheme="majorHAnsi" w:cs="Arial"/>
          <w:sz w:val="22"/>
          <w:szCs w:val="22"/>
          <w:lang w:val="es-GT"/>
        </w:rPr>
        <w:t xml:space="preserve">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08093C" w:rsidRDefault="00C918E8" w:rsidP="00AF67EB">
      <w:pPr>
        <w:spacing w:line="276" w:lineRule="auto"/>
        <w:jc w:val="both"/>
        <w:rPr>
          <w:rFonts w:asciiTheme="majorHAnsi" w:eastAsia="Times New Roman" w:hAnsiTheme="majorHAnsi" w:cstheme="majorHAnsi"/>
          <w:bCs/>
          <w:sz w:val="20"/>
          <w:szCs w:val="20"/>
          <w:lang w:val="es-GT" w:eastAsia="es-GT"/>
        </w:rPr>
      </w:pPr>
      <w:r w:rsidRPr="00C918E8">
        <w:rPr>
          <w:rFonts w:asciiTheme="majorHAnsi" w:hAnsiTheme="majorHAnsi"/>
          <w:b/>
          <w:sz w:val="22"/>
          <w:szCs w:val="22"/>
        </w:rPr>
        <w:t>Entidad:</w:t>
      </w:r>
      <w:r>
        <w:rPr>
          <w:rFonts w:asciiTheme="majorHAnsi" w:hAnsiTheme="majorHAnsi"/>
          <w:sz w:val="22"/>
          <w:szCs w:val="22"/>
        </w:rPr>
        <w:t xml:space="preserve"> </w:t>
      </w:r>
      <w:r w:rsidR="0008093C" w:rsidRPr="0008093C">
        <w:rPr>
          <w:rFonts w:asciiTheme="majorHAnsi" w:eastAsia="Times New Roman" w:hAnsiTheme="majorHAnsi" w:cstheme="majorHAnsi"/>
          <w:bCs/>
          <w:sz w:val="20"/>
          <w:szCs w:val="20"/>
          <w:lang w:val="es-GT" w:eastAsia="es-GT"/>
        </w:rPr>
        <w:t>Asociación Deportiva Nacional de Hockey</w:t>
      </w:r>
      <w:r w:rsidR="0008093C" w:rsidRPr="0008093C">
        <w:rPr>
          <w:rFonts w:asciiTheme="majorHAnsi" w:eastAsia="Times New Roman" w:hAnsiTheme="majorHAnsi" w:cstheme="majorHAnsi"/>
          <w:bCs/>
          <w:sz w:val="20"/>
          <w:szCs w:val="20"/>
          <w:lang w:val="es-GT" w:eastAsia="es-GT"/>
        </w:rPr>
        <w:t xml:space="preserve"> </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CC42C7"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08093C" w:rsidRPr="00D958E3">
          <w:rPr>
            <w:rStyle w:val="Hipervnculo"/>
          </w:rPr>
          <w:t>https://www.adnh-gt.org/</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08093C">
        <w:rPr>
          <w:rFonts w:asciiTheme="majorHAnsi" w:hAnsiTheme="majorHAnsi"/>
          <w:sz w:val="22"/>
          <w:szCs w:val="22"/>
        </w:rPr>
        <w:t>17</w:t>
      </w:r>
      <w:r w:rsidRPr="00F41939">
        <w:rPr>
          <w:rFonts w:asciiTheme="majorHAnsi" w:hAnsiTheme="majorHAnsi"/>
          <w:sz w:val="22"/>
          <w:szCs w:val="22"/>
        </w:rPr>
        <w:t>-</w:t>
      </w:r>
      <w:r>
        <w:rPr>
          <w:rFonts w:asciiTheme="majorHAnsi" w:hAnsiTheme="majorHAnsi"/>
          <w:sz w:val="22"/>
          <w:szCs w:val="22"/>
        </w:rPr>
        <w:t>0</w:t>
      </w:r>
      <w:r w:rsidR="0008093C">
        <w:rPr>
          <w:rFonts w:asciiTheme="majorHAnsi" w:hAnsiTheme="majorHAnsi"/>
          <w:sz w:val="22"/>
          <w:szCs w:val="22"/>
        </w:rPr>
        <w:t>7</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08093C">
        <w:rPr>
          <w:rFonts w:asciiTheme="majorHAnsi" w:hAnsiTheme="majorHAnsi" w:cs="Arial"/>
          <w:sz w:val="22"/>
          <w:szCs w:val="22"/>
        </w:rPr>
        <w:t>54.69</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Default="00AF67EB"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Default="00797401" w:rsidP="00833125">
      <w:pPr>
        <w:jc w:val="both"/>
        <w:rPr>
          <w:rFonts w:cs="Arial"/>
          <w:sz w:val="22"/>
          <w:szCs w:val="22"/>
          <w:lang w:val="es-GT"/>
        </w:rPr>
      </w:pPr>
    </w:p>
    <w:p w:rsidR="00797401" w:rsidRPr="006E39CA" w:rsidRDefault="00797401"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535594150"/>
      <w:r w:rsidRPr="006E39CA">
        <w:rPr>
          <w:rFonts w:asciiTheme="majorHAnsi" w:hAnsiTheme="majorHAnsi"/>
        </w:rPr>
        <w:lastRenderedPageBreak/>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E551E8" w:rsidTr="003C0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27CEE" w:rsidRPr="00E551E8" w:rsidRDefault="0002241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320CE2">
            <w:pPr>
              <w:jc w:val="center"/>
              <w:rPr>
                <w:rFonts w:asciiTheme="majorHAnsi" w:eastAsia="Times New Roman" w:hAnsiTheme="majorHAnsi" w:cs="Times New Roman"/>
                <w:sz w:val="20"/>
                <w:szCs w:val="20"/>
                <w:lang w:eastAsia="es-GT"/>
              </w:rPr>
            </w:pP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27CEE" w:rsidRPr="00E551E8" w:rsidRDefault="003C0F07"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320CE2">
            <w:pPr>
              <w:jc w:val="center"/>
              <w:rPr>
                <w:rFonts w:asciiTheme="majorHAnsi" w:eastAsia="Times New Roman" w:hAnsiTheme="majorHAnsi" w:cs="Times New Roman"/>
                <w:sz w:val="20"/>
                <w:szCs w:val="20"/>
                <w:lang w:eastAsia="es-GT"/>
              </w:rPr>
            </w:pP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27CEE" w:rsidRPr="00E551E8" w:rsidRDefault="0002241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27CEE" w:rsidRPr="00E551E8" w:rsidRDefault="00022417"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E551E8"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27CEE" w:rsidRPr="00E551E8" w:rsidRDefault="0002241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27CEE" w:rsidRPr="00E551E8" w:rsidRDefault="00022417"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22417">
              <w:rPr>
                <w:rFonts w:asciiTheme="majorHAnsi" w:eastAsia="Times New Roman" w:hAnsiTheme="majorHAnsi" w:cs="Times New Roman"/>
                <w:sz w:val="20"/>
                <w:szCs w:val="20"/>
                <w:lang w:eastAsia="es-GT"/>
              </w:rPr>
              <w:t>Información actualizada hasta enero 2019.</w:t>
            </w: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2F2FDE" w:rsidRPr="00E551E8" w:rsidRDefault="00C7336D"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No</w:t>
            </w:r>
          </w:p>
        </w:tc>
        <w:tc>
          <w:tcPr>
            <w:tcW w:w="5245" w:type="dxa"/>
          </w:tcPr>
          <w:p w:rsidR="002F2FDE" w:rsidRPr="003C0F07" w:rsidRDefault="00022417"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22417">
              <w:rPr>
                <w:rFonts w:asciiTheme="majorHAnsi" w:eastAsia="Times New Roman" w:hAnsiTheme="majorHAnsi" w:cs="Times New Roman"/>
                <w:sz w:val="20"/>
                <w:szCs w:val="20"/>
                <w:lang w:eastAsia="es-GT"/>
              </w:rPr>
              <w:t>La información de algunos formatos está actualizada hasta marzo 2019.</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2F2FDE" w:rsidRPr="00E551E8" w:rsidRDefault="005E0B3B"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2F2FDE" w:rsidRPr="00E551E8" w:rsidRDefault="005E0B3B"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2F2FDE" w:rsidRPr="00E551E8"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2F2FDE" w:rsidRPr="00E551E8" w:rsidRDefault="00E576B5"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785442" w:rsidRPr="00E551E8" w:rsidRDefault="005E0B3B"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E0B3B">
              <w:rPr>
                <w:rFonts w:asciiTheme="majorHAnsi" w:eastAsia="Times New Roman" w:hAnsiTheme="majorHAnsi" w:cs="Times New Roman"/>
                <w:sz w:val="20"/>
                <w:szCs w:val="20"/>
                <w:lang w:eastAsia="es-GT"/>
              </w:rPr>
              <w:t>No hay información de los resultados obtenidos hasta ahora.</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2F2FDE" w:rsidRPr="00E551E8"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2F2FDE" w:rsidRPr="00E551E8" w:rsidRDefault="003C0F07"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2F2FDE" w:rsidRPr="00E551E8"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2F2FDE" w:rsidRPr="00E551E8" w:rsidRDefault="005E0B3B"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2F2FDE" w:rsidRPr="00E551E8" w:rsidRDefault="005E0B3B"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2F2FDE" w:rsidRPr="00E551E8" w:rsidRDefault="005E0B3B"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E576B5" w:rsidRPr="003C0F07" w:rsidRDefault="00E576B5"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5E0B3B">
              <w:rPr>
                <w:rFonts w:asciiTheme="majorHAnsi" w:eastAsia="Times New Roman" w:hAnsiTheme="majorHAnsi" w:cs="Times New Roman"/>
                <w:sz w:val="20"/>
                <w:szCs w:val="20"/>
                <w:lang w:eastAsia="es-GT"/>
              </w:rPr>
              <w:t>/A</w:t>
            </w:r>
          </w:p>
        </w:tc>
        <w:tc>
          <w:tcPr>
            <w:tcW w:w="5245" w:type="dxa"/>
          </w:tcPr>
          <w:p w:rsidR="00E576B5" w:rsidRPr="00E551E8" w:rsidRDefault="005E0B3B"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Justificación. </w:t>
            </w:r>
          </w:p>
        </w:tc>
      </w:tr>
      <w:tr w:rsidR="00E576B5"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E576B5" w:rsidRPr="003C0F07" w:rsidRDefault="00E576B5"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E576B5" w:rsidRPr="00E551E8" w:rsidRDefault="000A260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Las compras de baja cuantía publicadas remiten a la página de Guatecompras.</w:t>
            </w:r>
          </w:p>
        </w:tc>
      </w:tr>
      <w:tr w:rsidR="000A260B"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0A260B" w:rsidRPr="00E551E8" w:rsidRDefault="000A260B" w:rsidP="000A26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0A260B" w:rsidRPr="003C0F07" w:rsidRDefault="000A260B" w:rsidP="000A260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0A260B" w:rsidRPr="000A260B" w:rsidRDefault="000A260B" w:rsidP="000A260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 xml:space="preserve">Sin movimiento los viajes internacionales. Pero no hay información de viajes nacionales o justificación al respecto. </w:t>
            </w:r>
          </w:p>
        </w:tc>
      </w:tr>
      <w:tr w:rsidR="000A260B"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jc w:val="center"/>
              <w:rPr>
                <w:rFonts w:asciiTheme="majorHAnsi" w:eastAsia="Times New Roman" w:hAnsiTheme="majorHAnsi" w:cs="Times New Roman"/>
                <w:sz w:val="20"/>
                <w:szCs w:val="20"/>
                <w:lang w:eastAsia="es-GT"/>
              </w:rPr>
            </w:pPr>
          </w:p>
        </w:tc>
        <w:tc>
          <w:tcPr>
            <w:tcW w:w="2447" w:type="dxa"/>
          </w:tcPr>
          <w:p w:rsidR="000A260B" w:rsidRPr="00E551E8" w:rsidRDefault="000A260B" w:rsidP="000A26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0A260B" w:rsidRPr="003C0F07" w:rsidRDefault="000A260B" w:rsidP="000A260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0A260B" w:rsidRPr="000A260B" w:rsidRDefault="000A260B" w:rsidP="000A260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 xml:space="preserve">Sin movimiento los viajes internacionales. Pero no hay información de viajes nacionales o justificación al respecto. </w:t>
            </w:r>
          </w:p>
        </w:tc>
      </w:tr>
      <w:tr w:rsidR="000A260B"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0A260B" w:rsidRPr="00E551E8" w:rsidRDefault="000A260B" w:rsidP="000A26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0A260B" w:rsidRPr="003C0F07" w:rsidRDefault="000A260B" w:rsidP="000A260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0A260B" w:rsidRPr="000A260B" w:rsidRDefault="000A260B" w:rsidP="000A260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El inventario de bienes muebles corresponde al año 2017 y se encuentra actualizado hasta septiembre 2018.</w:t>
            </w:r>
          </w:p>
        </w:tc>
      </w:tr>
      <w:tr w:rsidR="000A260B"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jc w:val="center"/>
              <w:rPr>
                <w:rFonts w:asciiTheme="majorHAnsi" w:eastAsia="Times New Roman" w:hAnsiTheme="majorHAnsi" w:cs="Times New Roman"/>
                <w:sz w:val="20"/>
                <w:szCs w:val="20"/>
                <w:lang w:eastAsia="es-GT"/>
              </w:rPr>
            </w:pPr>
          </w:p>
        </w:tc>
        <w:tc>
          <w:tcPr>
            <w:tcW w:w="2447" w:type="dxa"/>
          </w:tcPr>
          <w:p w:rsidR="000A260B" w:rsidRPr="00E551E8" w:rsidRDefault="000A260B" w:rsidP="000A26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0A260B" w:rsidRPr="003C0F07" w:rsidRDefault="000A260B" w:rsidP="000A260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0A260B" w:rsidRPr="000A260B" w:rsidRDefault="000A260B" w:rsidP="000A260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El inventario de bienes muebles corresponde al año 2017 y se encuentra actualizado hasta septiembre 2018.</w:t>
            </w: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3C0F07" w:rsidRPr="003C0F07"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0A260B">
              <w:rPr>
                <w:rFonts w:asciiTheme="majorHAnsi" w:eastAsia="Times New Roman" w:hAnsiTheme="majorHAnsi" w:cs="Times New Roman"/>
                <w:sz w:val="20"/>
                <w:szCs w:val="20"/>
                <w:lang w:eastAsia="es-GT"/>
              </w:rPr>
              <w:t>/A</w:t>
            </w:r>
          </w:p>
        </w:tc>
        <w:tc>
          <w:tcPr>
            <w:tcW w:w="5245"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 xml:space="preserve">. </w:t>
            </w:r>
          </w:p>
        </w:tc>
      </w:tr>
      <w:tr w:rsidR="000A260B"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rsidR="000A260B" w:rsidRPr="00E551E8" w:rsidRDefault="000A260B" w:rsidP="000A26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0A260B" w:rsidRPr="003C0F07" w:rsidRDefault="000A260B" w:rsidP="000A260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0A260B" w:rsidRPr="000A260B" w:rsidRDefault="000A260B" w:rsidP="000A260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 xml:space="preserve">No queda muy claro a cuál de las transferencias hace referencia la información publicada. </w:t>
            </w:r>
          </w:p>
        </w:tc>
      </w:tr>
      <w:tr w:rsidR="000A260B"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0A260B" w:rsidRPr="00E551E8" w:rsidRDefault="000A260B" w:rsidP="000A26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0A260B" w:rsidRPr="003C0F07" w:rsidRDefault="000A260B" w:rsidP="000A260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0A260B" w:rsidRPr="000A260B" w:rsidRDefault="000A260B" w:rsidP="000A260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 xml:space="preserve">No queda muy claro a cuál de las transferencias hace referencia la información publicada. </w:t>
            </w:r>
          </w:p>
        </w:tc>
      </w:tr>
      <w:tr w:rsidR="000A260B"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0A260B" w:rsidRPr="003C0F07" w:rsidRDefault="000A260B" w:rsidP="000A260B">
            <w:pP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0A260B" w:rsidRPr="00E551E8" w:rsidRDefault="000A260B" w:rsidP="000A26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0A260B" w:rsidRPr="003C0F07" w:rsidRDefault="000A260B" w:rsidP="000A260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0A260B" w:rsidRPr="000A260B" w:rsidRDefault="000A260B" w:rsidP="000A260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A260B">
              <w:rPr>
                <w:rFonts w:asciiTheme="majorHAnsi" w:eastAsia="Times New Roman" w:hAnsiTheme="majorHAnsi" w:cs="Times New Roman"/>
                <w:sz w:val="20"/>
                <w:szCs w:val="20"/>
                <w:lang w:eastAsia="es-GT"/>
              </w:rPr>
              <w:t xml:space="preserve">No queda muy claro a cuál de las transferencias hace referencia la información publicada. </w:t>
            </w: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3C0F07" w:rsidRPr="003C0F07"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0A260B">
              <w:rPr>
                <w:rFonts w:asciiTheme="majorHAnsi" w:eastAsia="Times New Roman" w:hAnsiTheme="majorHAnsi" w:cs="Times New Roman"/>
                <w:sz w:val="20"/>
                <w:szCs w:val="20"/>
                <w:lang w:eastAsia="es-GT"/>
              </w:rPr>
              <w:t>/A</w:t>
            </w:r>
          </w:p>
        </w:tc>
        <w:tc>
          <w:tcPr>
            <w:tcW w:w="5245"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C0F07"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3C0F07" w:rsidRPr="00E551E8"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3C0F07" w:rsidRPr="003C0F07" w:rsidRDefault="003C0F07"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0A260B">
              <w:rPr>
                <w:rFonts w:asciiTheme="majorHAnsi" w:eastAsia="Times New Roman" w:hAnsiTheme="majorHAnsi" w:cs="Times New Roman"/>
                <w:sz w:val="20"/>
                <w:szCs w:val="20"/>
                <w:lang w:eastAsia="es-GT"/>
              </w:rPr>
              <w:t>/A</w:t>
            </w:r>
          </w:p>
        </w:tc>
        <w:tc>
          <w:tcPr>
            <w:tcW w:w="5245"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3C0F07" w:rsidRPr="003C0F07"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0A260B">
              <w:rPr>
                <w:rFonts w:asciiTheme="majorHAnsi" w:eastAsia="Times New Roman" w:hAnsiTheme="majorHAnsi" w:cs="Times New Roman"/>
                <w:sz w:val="20"/>
                <w:szCs w:val="20"/>
                <w:lang w:eastAsia="es-GT"/>
              </w:rPr>
              <w:t>/A</w:t>
            </w:r>
          </w:p>
        </w:tc>
        <w:tc>
          <w:tcPr>
            <w:tcW w:w="5245"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A2DF4"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DA2DF4" w:rsidRPr="003C0F07" w:rsidRDefault="00DA2DF4" w:rsidP="00DA2DF4">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lastRenderedPageBreak/>
              <w:t>19</w:t>
            </w:r>
          </w:p>
        </w:tc>
        <w:tc>
          <w:tcPr>
            <w:tcW w:w="2447" w:type="dxa"/>
          </w:tcPr>
          <w:p w:rsidR="00DA2DF4" w:rsidRPr="00E551E8" w:rsidRDefault="00DA2DF4" w:rsidP="00DA2D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DA2DF4" w:rsidRPr="003C0F07" w:rsidRDefault="00DA2DF4" w:rsidP="00DA2DF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rsidR="00DA2DF4" w:rsidRPr="00DA2DF4" w:rsidRDefault="00DA2DF4" w:rsidP="00DA2D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 xml:space="preserve">Justificación desactualizada. </w:t>
            </w:r>
          </w:p>
        </w:tc>
      </w:tr>
      <w:tr w:rsidR="00DA2DF4"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A2DF4" w:rsidRPr="003C0F07" w:rsidRDefault="00DA2DF4" w:rsidP="00DA2DF4">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DA2DF4" w:rsidRPr="00E551E8" w:rsidRDefault="00DA2DF4" w:rsidP="00DA2D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DA2DF4" w:rsidRPr="003C0F07" w:rsidRDefault="00DA2DF4" w:rsidP="00DA2DF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DA2DF4" w:rsidRPr="00DA2DF4" w:rsidRDefault="00DA2DF4" w:rsidP="00DA2D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 xml:space="preserve">Justificación desactualizada. </w:t>
            </w:r>
          </w:p>
        </w:tc>
      </w:tr>
      <w:tr w:rsidR="00DA2DF4"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DA2DF4" w:rsidRPr="003C0F07" w:rsidRDefault="00DA2DF4" w:rsidP="00DA2DF4">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DA2DF4" w:rsidRPr="00E551E8" w:rsidRDefault="00DA2DF4" w:rsidP="00DA2D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DA2DF4" w:rsidRPr="003C0F07" w:rsidRDefault="00DA2DF4" w:rsidP="00DA2DF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DA2DF4" w:rsidRPr="00DA2DF4" w:rsidRDefault="00DA2DF4" w:rsidP="00DA2D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 xml:space="preserve">Justificación desactualizada. </w:t>
            </w:r>
          </w:p>
        </w:tc>
      </w:tr>
      <w:tr w:rsidR="00E576B5"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E576B5" w:rsidRPr="003C0F07" w:rsidRDefault="00E576B5"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E576B5" w:rsidRPr="003C0F07" w:rsidRDefault="00DA2DF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No hay historial del este numeral publicado.</w:t>
            </w:r>
          </w:p>
        </w:tc>
      </w:tr>
      <w:tr w:rsidR="00E576B5"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E576B5" w:rsidRPr="003C0F07" w:rsidRDefault="00E576B5"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E576B5" w:rsidRPr="00E551E8" w:rsidRDefault="00DA2DF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No está publicado el Informe de Auditoría completo.</w:t>
            </w: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26</w:t>
            </w:r>
          </w:p>
        </w:tc>
        <w:tc>
          <w:tcPr>
            <w:tcW w:w="2447"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Funcionamiento de archivo</w:t>
            </w:r>
          </w:p>
        </w:tc>
        <w:tc>
          <w:tcPr>
            <w:tcW w:w="1522" w:type="dxa"/>
          </w:tcPr>
          <w:p w:rsidR="003C0F07" w:rsidRPr="003C0F07" w:rsidRDefault="00DA2DF4"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3C0F07" w:rsidRPr="003C0F07" w:rsidRDefault="00DA2DF4" w:rsidP="00180CE8">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A2DF4">
              <w:rPr>
                <w:rFonts w:asciiTheme="majorHAnsi" w:eastAsia="Times New Roman" w:hAnsiTheme="majorHAnsi" w:cs="Times New Roman"/>
                <w:sz w:val="20"/>
                <w:szCs w:val="20"/>
                <w:lang w:eastAsia="es-GT"/>
              </w:rPr>
              <w:t xml:space="preserve">Por la fecha la </w:t>
            </w:r>
            <w:r w:rsidRPr="00DA2DF4">
              <w:rPr>
                <w:rFonts w:asciiTheme="majorHAnsi" w:eastAsia="Times New Roman" w:hAnsiTheme="majorHAnsi" w:cs="Times New Roman"/>
                <w:sz w:val="20"/>
                <w:szCs w:val="20"/>
                <w:lang w:eastAsia="es-GT"/>
              </w:rPr>
              <w:t>publicación</w:t>
            </w:r>
            <w:r w:rsidRPr="00DA2DF4">
              <w:rPr>
                <w:rFonts w:asciiTheme="majorHAnsi" w:eastAsia="Times New Roman" w:hAnsiTheme="majorHAnsi" w:cs="Times New Roman"/>
                <w:sz w:val="20"/>
                <w:szCs w:val="20"/>
                <w:lang w:eastAsia="es-GT"/>
              </w:rPr>
              <w:t xml:space="preserve"> del año 2019 ya debería estar cargada.</w:t>
            </w:r>
          </w:p>
        </w:tc>
      </w:tr>
      <w:tr w:rsidR="003C0F07"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27</w:t>
            </w:r>
          </w:p>
        </w:tc>
        <w:tc>
          <w:tcPr>
            <w:tcW w:w="2447"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Índice de la información clasificada</w:t>
            </w:r>
          </w:p>
        </w:tc>
        <w:tc>
          <w:tcPr>
            <w:tcW w:w="1522" w:type="dxa"/>
          </w:tcPr>
          <w:p w:rsidR="003C0F07" w:rsidRPr="003C0F07" w:rsidRDefault="00DA2DF4"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3C0F07" w:rsidRPr="003C0F07" w:rsidRDefault="003C0F07" w:rsidP="00180CE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28</w:t>
            </w:r>
          </w:p>
        </w:tc>
        <w:tc>
          <w:tcPr>
            <w:tcW w:w="2447"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Pertenencia sociolingüística</w:t>
            </w:r>
          </w:p>
        </w:tc>
        <w:tc>
          <w:tcPr>
            <w:tcW w:w="1522" w:type="dxa"/>
          </w:tcPr>
          <w:p w:rsidR="003C0F07" w:rsidRPr="003C0F07"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No</w:t>
            </w:r>
          </w:p>
        </w:tc>
        <w:tc>
          <w:tcPr>
            <w:tcW w:w="5245" w:type="dxa"/>
          </w:tcPr>
          <w:p w:rsidR="003C0F07" w:rsidRPr="003C0F07" w:rsidRDefault="00180CE8" w:rsidP="00180CE8">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CE8">
              <w:rPr>
                <w:rFonts w:asciiTheme="majorHAnsi" w:eastAsia="Times New Roman" w:hAnsiTheme="majorHAnsi" w:cs="Times New Roman"/>
                <w:sz w:val="20"/>
                <w:szCs w:val="20"/>
                <w:lang w:eastAsia="es-GT"/>
              </w:rPr>
              <w:t>Se recomienda descargar la guía para la elaboración del informe de pertenencia sociolingüística en el apartado de SECAI de la página de la PDH.</w:t>
            </w:r>
          </w:p>
        </w:tc>
      </w:tr>
      <w:tr w:rsidR="003C0F07"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320CE2">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29</w:t>
            </w:r>
          </w:p>
        </w:tc>
        <w:tc>
          <w:tcPr>
            <w:tcW w:w="2447"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Otra información</w:t>
            </w:r>
          </w:p>
        </w:tc>
        <w:tc>
          <w:tcPr>
            <w:tcW w:w="1522" w:type="dxa"/>
          </w:tcPr>
          <w:p w:rsidR="003C0F07" w:rsidRPr="003C0F07" w:rsidRDefault="00180CE8"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Pr="003C0F07" w:rsidRDefault="003A7371" w:rsidP="003C0F07">
      <w:pPr>
        <w:rPr>
          <w:rFonts w:asciiTheme="majorHAnsi" w:eastAsia="Times New Roman" w:hAnsiTheme="majorHAnsi" w:cs="Times New Roman"/>
          <w:sz w:val="20"/>
          <w:szCs w:val="20"/>
          <w:lang w:eastAsia="es-GT"/>
        </w:rPr>
      </w:pPr>
    </w:p>
    <w:p w:rsidR="002F2FDE" w:rsidRPr="003C0F07" w:rsidRDefault="002F2FDE" w:rsidP="003C0F07">
      <w:pP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3C0F0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D34EAB" w:rsidRDefault="002F2FDE" w:rsidP="00D34EAB">
            <w:pPr>
              <w:jc w:val="center"/>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Numeral</w:t>
            </w:r>
          </w:p>
        </w:tc>
        <w:tc>
          <w:tcPr>
            <w:tcW w:w="2835"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Información</w:t>
            </w:r>
          </w:p>
        </w:tc>
        <w:tc>
          <w:tcPr>
            <w:tcW w:w="1559"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Cumplimiento</w:t>
            </w:r>
          </w:p>
        </w:tc>
        <w:tc>
          <w:tcPr>
            <w:tcW w:w="4820"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Hallazgo</w:t>
            </w:r>
          </w:p>
        </w:tc>
      </w:tr>
      <w:tr w:rsidR="00E576B5" w:rsidRPr="003C0F0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Pr="003C0F07" w:rsidRDefault="003C0F07" w:rsidP="00320CE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3C0F07"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320CE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Pr="003C0F07" w:rsidRDefault="00E576B5" w:rsidP="00320C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77FC7">
              <w:rPr>
                <w:rFonts w:asciiTheme="majorHAnsi" w:eastAsia="Times New Roman" w:hAnsiTheme="majorHAnsi" w:cs="Times New Roman"/>
                <w:sz w:val="20"/>
                <w:szCs w:val="20"/>
                <w:lang w:eastAsia="es-GT"/>
              </w:rPr>
              <w:t>No</w:t>
            </w:r>
          </w:p>
        </w:tc>
        <w:tc>
          <w:tcPr>
            <w:tcW w:w="4820"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320CE2">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E576B5" w:rsidP="00E576B5">
            <w:pPr>
              <w:jc w:val="center"/>
              <w:cnfStyle w:val="000000100000" w:firstRow="0" w:lastRow="0" w:firstColumn="0" w:lastColumn="0" w:oddVBand="0" w:evenVBand="0" w:oddHBand="1" w:evenHBand="0" w:firstRowFirstColumn="0" w:firstRowLastColumn="0" w:lastRowFirstColumn="0" w:lastRowLastColumn="0"/>
            </w:pPr>
            <w:r w:rsidRPr="00A77FC7">
              <w:rPr>
                <w:rFonts w:asciiTheme="majorHAnsi" w:eastAsia="Times New Roman" w:hAnsiTheme="majorHAnsi" w:cs="Times New Roman"/>
                <w:sz w:val="20"/>
                <w:szCs w:val="20"/>
                <w:lang w:eastAsia="es-GT"/>
              </w:rPr>
              <w:t>No</w:t>
            </w:r>
          </w:p>
        </w:tc>
        <w:tc>
          <w:tcPr>
            <w:tcW w:w="4820" w:type="dxa"/>
          </w:tcPr>
          <w:p w:rsidR="00E576B5" w:rsidRPr="00E551E8" w:rsidRDefault="00180CE8" w:rsidP="00180CE8">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Las justificaciones de no aplicabilidad de varios numerales están desactualizadas, una parte del numeral 11 remite a la página de Guatecompras y en el numeral 28 es necesario publicar un informe de pertenencia sociolingüística de los usuarios de sus servicios. </w:t>
            </w:r>
          </w:p>
        </w:tc>
      </w:tr>
      <w:tr w:rsidR="002F2FDE" w:rsidRPr="00E551E8" w:rsidTr="00DD6328">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D748E6" w:rsidRDefault="0043779B"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54.69</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8" w:name="_Toc400533786"/>
    </w:p>
    <w:p w:rsidR="00E512E2" w:rsidRDefault="00E512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320CE2" w:rsidRDefault="00320CE2" w:rsidP="00DB4824">
      <w:pPr>
        <w:jc w:val="both"/>
        <w:rPr>
          <w:rFonts w:asciiTheme="majorHAnsi" w:hAnsiTheme="majorHAnsi" w:cs="Arial"/>
          <w:sz w:val="22"/>
          <w:szCs w:val="22"/>
        </w:rPr>
      </w:pPr>
    </w:p>
    <w:p w:rsidR="00180CE8" w:rsidRDefault="00180CE8" w:rsidP="00DB4824">
      <w:pPr>
        <w:jc w:val="both"/>
        <w:rPr>
          <w:rFonts w:asciiTheme="majorHAnsi" w:hAnsiTheme="majorHAnsi" w:cs="Arial"/>
          <w:sz w:val="22"/>
          <w:szCs w:val="22"/>
        </w:rPr>
      </w:pPr>
    </w:p>
    <w:p w:rsidR="00180CE8" w:rsidRDefault="00180CE8" w:rsidP="00DB4824">
      <w:pPr>
        <w:jc w:val="both"/>
        <w:rPr>
          <w:rFonts w:asciiTheme="majorHAnsi" w:hAnsiTheme="majorHAnsi" w:cs="Arial"/>
          <w:sz w:val="22"/>
          <w:szCs w:val="22"/>
        </w:rPr>
      </w:pPr>
    </w:p>
    <w:p w:rsidR="00180CE8" w:rsidRDefault="00180CE8" w:rsidP="00DB4824">
      <w:pPr>
        <w:jc w:val="both"/>
        <w:rPr>
          <w:rFonts w:asciiTheme="majorHAnsi" w:hAnsiTheme="majorHAnsi" w:cs="Arial"/>
          <w:sz w:val="22"/>
          <w:szCs w:val="22"/>
        </w:rPr>
      </w:pPr>
    </w:p>
    <w:p w:rsidR="00180CE8" w:rsidRDefault="00180CE8" w:rsidP="00DB4824">
      <w:pPr>
        <w:jc w:val="both"/>
        <w:rPr>
          <w:rFonts w:asciiTheme="majorHAnsi" w:hAnsiTheme="majorHAnsi" w:cs="Arial"/>
          <w:sz w:val="22"/>
          <w:szCs w:val="22"/>
        </w:rPr>
      </w:pPr>
    </w:p>
    <w:p w:rsidR="00180CE8" w:rsidRDefault="00180CE8" w:rsidP="00DB4824">
      <w:pPr>
        <w:jc w:val="both"/>
        <w:rPr>
          <w:rFonts w:asciiTheme="majorHAnsi" w:hAnsiTheme="majorHAnsi" w:cs="Arial"/>
          <w:sz w:val="22"/>
          <w:szCs w:val="22"/>
        </w:rPr>
      </w:pPr>
      <w:bookmarkStart w:id="9" w:name="_GoBack"/>
      <w:bookmarkEnd w:id="9"/>
    </w:p>
    <w:p w:rsidR="00320CE2" w:rsidRPr="003A7371" w:rsidRDefault="00320C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lastRenderedPageBreak/>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320CE2" w:rsidRDefault="00320CE2"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512E2">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E512E2">
        <w:rPr>
          <w:rFonts w:ascii="Calibri Light" w:hAnsi="Calibri Light" w:cs="Arial"/>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E9C" w:rsidRDefault="00CD2E9C" w:rsidP="00173CB7">
      <w:r>
        <w:separator/>
      </w:r>
    </w:p>
  </w:endnote>
  <w:endnote w:type="continuationSeparator" w:id="0">
    <w:p w:rsidR="00CD2E9C" w:rsidRDefault="00CD2E9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E9C" w:rsidRDefault="00CD2E9C" w:rsidP="00173CB7">
      <w:r>
        <w:separator/>
      </w:r>
    </w:p>
  </w:footnote>
  <w:footnote w:type="continuationSeparator" w:id="0">
    <w:p w:rsidR="00CD2E9C" w:rsidRDefault="00CD2E9C"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2.65pt;height:34.3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22417"/>
    <w:rsid w:val="000412B2"/>
    <w:rsid w:val="000672DF"/>
    <w:rsid w:val="00075B2F"/>
    <w:rsid w:val="0008001A"/>
    <w:rsid w:val="0008093C"/>
    <w:rsid w:val="0008329A"/>
    <w:rsid w:val="000A260B"/>
    <w:rsid w:val="000A4E33"/>
    <w:rsid w:val="000A5AD1"/>
    <w:rsid w:val="000B4379"/>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80CE8"/>
    <w:rsid w:val="00191D0A"/>
    <w:rsid w:val="00197444"/>
    <w:rsid w:val="001A09B4"/>
    <w:rsid w:val="001C1A1F"/>
    <w:rsid w:val="001C354C"/>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046D9"/>
    <w:rsid w:val="00320CE2"/>
    <w:rsid w:val="003702C6"/>
    <w:rsid w:val="00392AF3"/>
    <w:rsid w:val="003930D7"/>
    <w:rsid w:val="003A7371"/>
    <w:rsid w:val="003C0F07"/>
    <w:rsid w:val="003D2DD5"/>
    <w:rsid w:val="00407CFD"/>
    <w:rsid w:val="00411226"/>
    <w:rsid w:val="0041711B"/>
    <w:rsid w:val="004217F7"/>
    <w:rsid w:val="0043779B"/>
    <w:rsid w:val="00444C1D"/>
    <w:rsid w:val="00445017"/>
    <w:rsid w:val="00450F53"/>
    <w:rsid w:val="00486C7F"/>
    <w:rsid w:val="00490636"/>
    <w:rsid w:val="00493D1A"/>
    <w:rsid w:val="0049533D"/>
    <w:rsid w:val="00496D10"/>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E0B3B"/>
    <w:rsid w:val="005E4B29"/>
    <w:rsid w:val="005E679A"/>
    <w:rsid w:val="00613D0B"/>
    <w:rsid w:val="00617021"/>
    <w:rsid w:val="006265F6"/>
    <w:rsid w:val="00630CC0"/>
    <w:rsid w:val="0063204C"/>
    <w:rsid w:val="00632D7A"/>
    <w:rsid w:val="00674042"/>
    <w:rsid w:val="00683BD6"/>
    <w:rsid w:val="00693D8F"/>
    <w:rsid w:val="006B62B6"/>
    <w:rsid w:val="006D4332"/>
    <w:rsid w:val="006E39CA"/>
    <w:rsid w:val="006E7B14"/>
    <w:rsid w:val="006F7EA7"/>
    <w:rsid w:val="00707701"/>
    <w:rsid w:val="00717494"/>
    <w:rsid w:val="00720AF1"/>
    <w:rsid w:val="007305E6"/>
    <w:rsid w:val="00741E57"/>
    <w:rsid w:val="007463B9"/>
    <w:rsid w:val="00766567"/>
    <w:rsid w:val="007836CA"/>
    <w:rsid w:val="00785442"/>
    <w:rsid w:val="00797401"/>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B4E"/>
    <w:rsid w:val="008D0DCF"/>
    <w:rsid w:val="008D0F51"/>
    <w:rsid w:val="008D2C3E"/>
    <w:rsid w:val="008E08AC"/>
    <w:rsid w:val="008E3160"/>
    <w:rsid w:val="008F4AEE"/>
    <w:rsid w:val="00903E16"/>
    <w:rsid w:val="00907AB0"/>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0F28"/>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92DEA"/>
    <w:rsid w:val="00CA242E"/>
    <w:rsid w:val="00CB43F0"/>
    <w:rsid w:val="00CC0A55"/>
    <w:rsid w:val="00CC42C7"/>
    <w:rsid w:val="00CD2E9C"/>
    <w:rsid w:val="00D20375"/>
    <w:rsid w:val="00D21BE0"/>
    <w:rsid w:val="00D23B33"/>
    <w:rsid w:val="00D34EAB"/>
    <w:rsid w:val="00D64D8C"/>
    <w:rsid w:val="00D71B0D"/>
    <w:rsid w:val="00D748E6"/>
    <w:rsid w:val="00D901A4"/>
    <w:rsid w:val="00D92274"/>
    <w:rsid w:val="00DA08A7"/>
    <w:rsid w:val="00DA2DF4"/>
    <w:rsid w:val="00DA7E48"/>
    <w:rsid w:val="00DB4824"/>
    <w:rsid w:val="00DC1A7E"/>
    <w:rsid w:val="00DC44C3"/>
    <w:rsid w:val="00DC59A9"/>
    <w:rsid w:val="00DD497A"/>
    <w:rsid w:val="00DD5B1F"/>
    <w:rsid w:val="00DD6328"/>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831C5"/>
    <w:rsid w:val="00EC0A78"/>
    <w:rsid w:val="00ED13A6"/>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F666"/>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C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nh-g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6F81-E820-4597-BB8A-95A173DA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22</cp:revision>
  <cp:lastPrinted>2019-03-19T21:49:00Z</cp:lastPrinted>
  <dcterms:created xsi:type="dcterms:W3CDTF">2019-05-08T20:23:00Z</dcterms:created>
  <dcterms:modified xsi:type="dcterms:W3CDTF">2019-07-17T18:46:00Z</dcterms:modified>
</cp:coreProperties>
</file>