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570" w:rsidRPr="00B86942" w:rsidRDefault="009D3570" w:rsidP="00B86942">
      <w:pPr>
        <w:spacing w:after="0" w:line="240" w:lineRule="auto"/>
        <w:rPr>
          <w:b/>
          <w:sz w:val="40"/>
        </w:rPr>
      </w:pPr>
    </w:p>
    <w:p w:rsidR="009D3570" w:rsidRPr="00B86942" w:rsidRDefault="009D3570" w:rsidP="00074D2F">
      <w:pPr>
        <w:spacing w:after="0" w:line="240" w:lineRule="auto"/>
        <w:jc w:val="center"/>
        <w:rPr>
          <w:b/>
          <w:sz w:val="40"/>
        </w:rPr>
      </w:pPr>
    </w:p>
    <w:p w:rsidR="009D3570" w:rsidRPr="00B86942" w:rsidRDefault="009D3570" w:rsidP="00074D2F">
      <w:pPr>
        <w:spacing w:after="0" w:line="240" w:lineRule="auto"/>
        <w:jc w:val="center"/>
        <w:rPr>
          <w:b/>
          <w:sz w:val="40"/>
        </w:rPr>
      </w:pPr>
    </w:p>
    <w:p w:rsidR="009D3570" w:rsidRPr="00B86942" w:rsidRDefault="009D3570" w:rsidP="00074D2F">
      <w:pPr>
        <w:spacing w:after="0" w:line="240" w:lineRule="auto"/>
        <w:jc w:val="center"/>
        <w:rPr>
          <w:b/>
          <w:sz w:val="40"/>
        </w:rPr>
      </w:pPr>
    </w:p>
    <w:p w:rsidR="009D3570" w:rsidRPr="00B86942" w:rsidRDefault="009D3570" w:rsidP="00074D2F">
      <w:pPr>
        <w:spacing w:after="0" w:line="240" w:lineRule="auto"/>
        <w:jc w:val="center"/>
        <w:rPr>
          <w:b/>
          <w:sz w:val="40"/>
        </w:rPr>
      </w:pPr>
    </w:p>
    <w:p w:rsidR="009D3570" w:rsidRPr="00B86942" w:rsidRDefault="009D3570" w:rsidP="00074D2F">
      <w:pPr>
        <w:spacing w:after="0" w:line="240" w:lineRule="auto"/>
        <w:jc w:val="center"/>
        <w:rPr>
          <w:b/>
          <w:sz w:val="40"/>
        </w:rPr>
      </w:pPr>
    </w:p>
    <w:p w:rsidR="009D3570" w:rsidRPr="00B86942" w:rsidRDefault="009D3570" w:rsidP="00074D2F">
      <w:pPr>
        <w:spacing w:after="0" w:line="240" w:lineRule="auto"/>
        <w:jc w:val="center"/>
        <w:rPr>
          <w:b/>
          <w:sz w:val="40"/>
        </w:rPr>
      </w:pPr>
    </w:p>
    <w:p w:rsidR="009D3570" w:rsidRPr="00B86942" w:rsidRDefault="009D3570" w:rsidP="00074D2F">
      <w:pPr>
        <w:spacing w:after="0" w:line="240" w:lineRule="auto"/>
        <w:jc w:val="center"/>
        <w:rPr>
          <w:b/>
          <w:sz w:val="40"/>
        </w:rPr>
      </w:pPr>
    </w:p>
    <w:p w:rsidR="009D3570" w:rsidRPr="00B86942" w:rsidRDefault="009D3570" w:rsidP="00074D2F">
      <w:pPr>
        <w:spacing w:after="0" w:line="240" w:lineRule="auto"/>
        <w:jc w:val="center"/>
        <w:rPr>
          <w:b/>
          <w:sz w:val="40"/>
        </w:rPr>
      </w:pPr>
    </w:p>
    <w:p w:rsidR="009D3570" w:rsidRPr="00B86942" w:rsidRDefault="009D3570" w:rsidP="00074D2F">
      <w:pPr>
        <w:spacing w:after="0" w:line="240" w:lineRule="auto"/>
        <w:jc w:val="center"/>
        <w:rPr>
          <w:b/>
          <w:sz w:val="40"/>
        </w:rPr>
      </w:pPr>
    </w:p>
    <w:p w:rsidR="00700553" w:rsidRPr="00CA4D1C" w:rsidRDefault="00700553" w:rsidP="00700553">
      <w:pPr>
        <w:pStyle w:val="Ttulo"/>
        <w:jc w:val="center"/>
        <w:rPr>
          <w:rFonts w:asciiTheme="minorHAnsi" w:eastAsia="Times New Roman" w:hAnsiTheme="minorHAnsi" w:cs="Times New Roman"/>
          <w:caps w:val="0"/>
          <w:color w:val="17365D"/>
          <w:spacing w:val="5"/>
          <w:kern w:val="28"/>
          <w:sz w:val="48"/>
          <w:szCs w:val="48"/>
          <w:lang w:val="es-ES_tradnl"/>
        </w:rPr>
      </w:pPr>
      <w:r w:rsidRPr="00CA4D1C">
        <w:rPr>
          <w:rFonts w:asciiTheme="minorHAnsi" w:eastAsia="Times New Roman" w:hAnsiTheme="minorHAnsi" w:cs="Times New Roman"/>
          <w:caps w:val="0"/>
          <w:color w:val="17365D"/>
          <w:spacing w:val="5"/>
          <w:kern w:val="28"/>
          <w:sz w:val="48"/>
          <w:szCs w:val="48"/>
          <w:lang w:val="es-ES_tradnl"/>
        </w:rPr>
        <w:t>Informe de supervisión de portales electrónicos, acceso a la información y transparencia en los organismos del Estado</w:t>
      </w:r>
    </w:p>
    <w:p w:rsidR="00CA4D1C" w:rsidRPr="00707840" w:rsidRDefault="00CA4D1C" w:rsidP="00CA4D1C">
      <w:pPr>
        <w:pBdr>
          <w:bottom w:val="single" w:sz="8" w:space="4" w:color="5B9BD5" w:themeColor="accent1"/>
        </w:pBdr>
        <w:spacing w:after="300" w:line="240" w:lineRule="auto"/>
        <w:contextualSpacing/>
        <w:jc w:val="center"/>
        <w:rPr>
          <w:rFonts w:eastAsia="Batang" w:cstheme="majorBidi"/>
          <w:color w:val="323E4F" w:themeColor="text2" w:themeShade="BF"/>
          <w:spacing w:val="5"/>
          <w:kern w:val="28"/>
          <w:sz w:val="28"/>
          <w:lang w:eastAsia="es-ES_tradnl"/>
        </w:rPr>
      </w:pPr>
      <w:r>
        <w:rPr>
          <w:rFonts w:eastAsia="Batang" w:cstheme="majorBidi"/>
          <w:color w:val="323E4F" w:themeColor="text2" w:themeShade="BF"/>
          <w:spacing w:val="5"/>
          <w:kern w:val="28"/>
          <w:sz w:val="28"/>
          <w:lang w:eastAsia="es-ES_tradnl"/>
        </w:rPr>
        <w:t>Sobre publicación de la Información Pública de Oficio según la Ley de Acceso a la Información Pública</w:t>
      </w:r>
    </w:p>
    <w:p w:rsidR="00CA4D1C" w:rsidRDefault="00CA4D1C" w:rsidP="00CA4D1C">
      <w:pPr>
        <w:jc w:val="center"/>
        <w:rPr>
          <w:sz w:val="56"/>
          <w:szCs w:val="100"/>
        </w:rPr>
      </w:pPr>
    </w:p>
    <w:p w:rsidR="00CA4D1C" w:rsidRDefault="00CA4D1C" w:rsidP="00CA4D1C">
      <w:pPr>
        <w:jc w:val="center"/>
        <w:rPr>
          <w:szCs w:val="100"/>
        </w:rPr>
      </w:pPr>
      <w:r w:rsidRPr="00A05029">
        <w:rPr>
          <w:szCs w:val="100"/>
        </w:rPr>
        <w:t>Secretaría de Acceso a la Información Pública</w:t>
      </w:r>
    </w:p>
    <w:p w:rsidR="00CA4D1C" w:rsidRDefault="00CA4D1C" w:rsidP="00CA4D1C">
      <w:pPr>
        <w:jc w:val="center"/>
        <w:rPr>
          <w:szCs w:val="100"/>
        </w:rPr>
      </w:pPr>
    </w:p>
    <w:p w:rsidR="00CA4D1C" w:rsidRDefault="00CA4D1C" w:rsidP="00CA4D1C">
      <w:pPr>
        <w:jc w:val="center"/>
        <w:rPr>
          <w:szCs w:val="100"/>
        </w:rPr>
      </w:pPr>
    </w:p>
    <w:p w:rsidR="00CA4D1C" w:rsidRDefault="00CA4D1C" w:rsidP="00CA4D1C">
      <w:pPr>
        <w:jc w:val="center"/>
        <w:rPr>
          <w:szCs w:val="100"/>
        </w:rPr>
      </w:pPr>
    </w:p>
    <w:p w:rsidR="00700553" w:rsidRDefault="00700553" w:rsidP="00CA4D1C">
      <w:pPr>
        <w:jc w:val="center"/>
        <w:rPr>
          <w:szCs w:val="100"/>
        </w:rPr>
      </w:pPr>
    </w:p>
    <w:p w:rsidR="00CA4D1C" w:rsidRDefault="00CA4D1C" w:rsidP="00CA4D1C">
      <w:pPr>
        <w:jc w:val="center"/>
        <w:rPr>
          <w:szCs w:val="100"/>
        </w:rPr>
      </w:pPr>
    </w:p>
    <w:p w:rsidR="00CA4D1C" w:rsidRDefault="00CA4D1C" w:rsidP="00CA4D1C">
      <w:pPr>
        <w:jc w:val="center"/>
        <w:rPr>
          <w:szCs w:val="100"/>
        </w:rPr>
      </w:pPr>
    </w:p>
    <w:p w:rsidR="00CA4D1C" w:rsidRPr="00A05029" w:rsidRDefault="00CA4D1C" w:rsidP="00CA4D1C">
      <w:pPr>
        <w:jc w:val="center"/>
        <w:rPr>
          <w:szCs w:val="100"/>
        </w:rPr>
      </w:pPr>
    </w:p>
    <w:p w:rsidR="00241F1C" w:rsidRPr="00CA4D1C" w:rsidRDefault="00241F1C" w:rsidP="00CA4D1C">
      <w:pPr>
        <w:spacing w:after="0" w:line="240" w:lineRule="auto"/>
        <w:jc w:val="right"/>
        <w:rPr>
          <w:rFonts w:eastAsiaTheme="minorHAnsi"/>
          <w:sz w:val="36"/>
          <w:szCs w:val="100"/>
          <w:lang w:val="es-ES_tradnl"/>
        </w:rPr>
      </w:pPr>
      <w:r w:rsidRPr="00CA4D1C">
        <w:rPr>
          <w:rFonts w:eastAsiaTheme="minorHAnsi"/>
          <w:sz w:val="36"/>
          <w:szCs w:val="100"/>
          <w:lang w:val="es-ES_tradnl"/>
        </w:rPr>
        <w:t xml:space="preserve">Guatemala, </w:t>
      </w:r>
      <w:r w:rsidR="00CA4D1C">
        <w:rPr>
          <w:rFonts w:eastAsiaTheme="minorHAnsi"/>
          <w:sz w:val="36"/>
          <w:szCs w:val="100"/>
          <w:lang w:val="es-ES_tradnl"/>
        </w:rPr>
        <w:t>diciembre</w:t>
      </w:r>
      <w:r w:rsidRPr="00CA4D1C">
        <w:rPr>
          <w:rFonts w:eastAsiaTheme="minorHAnsi"/>
          <w:sz w:val="36"/>
          <w:szCs w:val="100"/>
          <w:lang w:val="es-ES_tradnl"/>
        </w:rPr>
        <w:t xml:space="preserve"> 20</w:t>
      </w:r>
      <w:r w:rsidR="00CA4D1C">
        <w:rPr>
          <w:rFonts w:eastAsiaTheme="minorHAnsi"/>
          <w:sz w:val="36"/>
          <w:szCs w:val="100"/>
          <w:lang w:val="es-ES_tradnl"/>
        </w:rPr>
        <w:t>20</w:t>
      </w:r>
    </w:p>
    <w:p w:rsidR="001F3128" w:rsidRDefault="001F3128" w:rsidP="00074D2F">
      <w:pPr>
        <w:spacing w:after="0" w:line="240" w:lineRule="auto"/>
        <w:jc w:val="center"/>
        <w:rPr>
          <w:b/>
          <w:sz w:val="40"/>
        </w:rPr>
      </w:pPr>
    </w:p>
    <w:p w:rsidR="001210C1" w:rsidRDefault="001210C1" w:rsidP="00074D2F">
      <w:pPr>
        <w:spacing w:after="0" w:line="240" w:lineRule="auto"/>
        <w:jc w:val="center"/>
        <w:rPr>
          <w:b/>
          <w:sz w:val="24"/>
        </w:rPr>
      </w:pPr>
    </w:p>
    <w:p w:rsidR="00241F1C" w:rsidRDefault="005841BE" w:rsidP="00074D2F">
      <w:pPr>
        <w:spacing w:after="0" w:line="240" w:lineRule="auto"/>
        <w:jc w:val="center"/>
        <w:rPr>
          <w:b/>
          <w:sz w:val="24"/>
        </w:rPr>
      </w:pPr>
      <w:r>
        <w:rPr>
          <w:b/>
          <w:noProof/>
          <w:sz w:val="20"/>
          <w:lang w:eastAsia="es-GT"/>
        </w:rPr>
        <w:lastRenderedPageBreak/>
        <w:drawing>
          <wp:anchor distT="0" distB="0" distL="114300" distR="114300" simplePos="0" relativeHeight="251677696" behindDoc="1" locked="0" layoutInCell="1" allowOverlap="1" wp14:anchorId="3764B7E4" wp14:editId="2DEF6C0A">
            <wp:simplePos x="0" y="0"/>
            <wp:positionH relativeFrom="column">
              <wp:posOffset>8890</wp:posOffset>
            </wp:positionH>
            <wp:positionV relativeFrom="paragraph">
              <wp:posOffset>5979</wp:posOffset>
            </wp:positionV>
            <wp:extent cx="6479612" cy="8376249"/>
            <wp:effectExtent l="0" t="0" r="0" b="6350"/>
            <wp:wrapNone/>
            <wp:docPr id="25" name="Picture 2" descr="Fond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2-01.jpg"/>
                    <pic:cNvPicPr/>
                  </pic:nvPicPr>
                  <pic:blipFill>
                    <a:blip r:embed="rId8"/>
                    <a:stretch>
                      <a:fillRect/>
                    </a:stretch>
                  </pic:blipFill>
                  <pic:spPr>
                    <a:xfrm>
                      <a:off x="0" y="0"/>
                      <a:ext cx="6484548" cy="8382630"/>
                    </a:xfrm>
                    <a:prstGeom prst="rect">
                      <a:avLst/>
                    </a:prstGeom>
                  </pic:spPr>
                </pic:pic>
              </a:graphicData>
            </a:graphic>
            <wp14:sizeRelH relativeFrom="margin">
              <wp14:pctWidth>0</wp14:pctWidth>
            </wp14:sizeRelH>
            <wp14:sizeRelV relativeFrom="margin">
              <wp14:pctHeight>0</wp14:pctHeight>
            </wp14:sizeRelV>
          </wp:anchor>
        </w:drawing>
      </w:r>
    </w:p>
    <w:p w:rsidR="00241F1C" w:rsidRPr="00F947C6" w:rsidRDefault="00241F1C" w:rsidP="00F947C6">
      <w:pPr>
        <w:contextualSpacing/>
        <w:rPr>
          <w:rFonts w:ascii="Copperplate Gothic Light" w:hAnsi="Copperplate Gothic Light"/>
          <w:sz w:val="24"/>
        </w:rPr>
      </w:pPr>
      <w:bookmarkStart w:id="0" w:name="_Toc504487848"/>
      <w:r w:rsidRPr="00F947C6">
        <w:rPr>
          <w:rFonts w:ascii="Copperplate Gothic Light" w:hAnsi="Copperplate Gothic Light"/>
          <w:sz w:val="24"/>
        </w:rPr>
        <w:t>DIRECTORIO</w:t>
      </w:r>
      <w:bookmarkEnd w:id="0"/>
    </w:p>
    <w:p w:rsidR="00241F1C" w:rsidRPr="00F947C6" w:rsidRDefault="00241F1C" w:rsidP="00F947C6">
      <w:pPr>
        <w:contextualSpacing/>
        <w:rPr>
          <w:rFonts w:ascii="Copperplate Gothic Light" w:hAnsi="Copperplate Gothic Light"/>
          <w:b/>
          <w:sz w:val="24"/>
        </w:rPr>
      </w:pPr>
    </w:p>
    <w:p w:rsidR="00241F1C" w:rsidRPr="00F947C6" w:rsidRDefault="00241F1C" w:rsidP="00F947C6">
      <w:pPr>
        <w:contextualSpacing/>
        <w:rPr>
          <w:rFonts w:ascii="Copperplate Gothic Light" w:hAnsi="Copperplate Gothic Light"/>
          <w:b/>
          <w:sz w:val="24"/>
        </w:rPr>
      </w:pPr>
      <w:bookmarkStart w:id="1" w:name="_Toc504487729"/>
      <w:bookmarkStart w:id="2" w:name="_Toc504487849"/>
      <w:r w:rsidRPr="00F947C6">
        <w:rPr>
          <w:rFonts w:ascii="Copperplate Gothic Light" w:hAnsi="Copperplate Gothic Light"/>
          <w:b/>
          <w:sz w:val="24"/>
        </w:rPr>
        <w:t>Augusto Jordán Rodas Andrade</w:t>
      </w:r>
      <w:bookmarkEnd w:id="1"/>
      <w:bookmarkEnd w:id="2"/>
    </w:p>
    <w:p w:rsidR="00241F1C" w:rsidRPr="00F947C6" w:rsidRDefault="00241F1C" w:rsidP="00F947C6">
      <w:pPr>
        <w:contextualSpacing/>
        <w:rPr>
          <w:rFonts w:ascii="Copperplate Gothic Light" w:hAnsi="Copperplate Gothic Light"/>
          <w:sz w:val="24"/>
        </w:rPr>
      </w:pPr>
      <w:bookmarkStart w:id="3" w:name="_Toc504058944"/>
      <w:bookmarkStart w:id="4" w:name="_Toc504487730"/>
      <w:bookmarkStart w:id="5" w:name="_Toc504487850"/>
      <w:r w:rsidRPr="00F947C6">
        <w:rPr>
          <w:rFonts w:ascii="Copperplate Gothic Light" w:hAnsi="Copperplate Gothic Light"/>
          <w:sz w:val="24"/>
        </w:rPr>
        <w:t>Procurador de los Derechos Humanos</w:t>
      </w:r>
      <w:bookmarkEnd w:id="3"/>
      <w:bookmarkEnd w:id="4"/>
      <w:bookmarkEnd w:id="5"/>
    </w:p>
    <w:p w:rsidR="00241F1C" w:rsidRPr="00F947C6" w:rsidRDefault="00241F1C" w:rsidP="00F947C6">
      <w:pPr>
        <w:contextualSpacing/>
        <w:rPr>
          <w:rFonts w:ascii="Copperplate Gothic Light" w:hAnsi="Copperplate Gothic Light"/>
          <w:sz w:val="24"/>
        </w:rPr>
      </w:pPr>
      <w:r w:rsidRPr="00F947C6">
        <w:rPr>
          <w:rFonts w:ascii="Copperplate Gothic Light" w:hAnsi="Copperplate Gothic Light"/>
          <w:sz w:val="24"/>
        </w:rPr>
        <w:t>Autoridad Reguladora de Acceso a la Información Pública</w:t>
      </w:r>
    </w:p>
    <w:p w:rsidR="00241F1C" w:rsidRPr="00F947C6" w:rsidRDefault="00241F1C" w:rsidP="00F947C6">
      <w:pPr>
        <w:contextualSpacing/>
        <w:rPr>
          <w:rFonts w:ascii="Copperplate Gothic Light" w:hAnsi="Copperplate Gothic Light"/>
          <w:b/>
          <w:sz w:val="24"/>
        </w:rPr>
      </w:pPr>
    </w:p>
    <w:p w:rsidR="00241F1C" w:rsidRPr="00F947C6" w:rsidRDefault="00241F1C" w:rsidP="00F947C6">
      <w:pPr>
        <w:contextualSpacing/>
        <w:rPr>
          <w:rFonts w:ascii="Copperplate Gothic Light" w:hAnsi="Copperplate Gothic Light"/>
          <w:b/>
          <w:sz w:val="24"/>
        </w:rPr>
      </w:pPr>
      <w:bookmarkStart w:id="6" w:name="_Toc504058945"/>
      <w:bookmarkStart w:id="7" w:name="_Toc504487731"/>
      <w:bookmarkStart w:id="8" w:name="_Toc504487851"/>
      <w:r w:rsidRPr="00F947C6">
        <w:rPr>
          <w:rFonts w:ascii="Copperplate Gothic Light" w:hAnsi="Copperplate Gothic Light"/>
          <w:b/>
          <w:sz w:val="24"/>
        </w:rPr>
        <w:t>Miriam Catarina Roquel Chávez</w:t>
      </w:r>
      <w:bookmarkEnd w:id="6"/>
      <w:bookmarkEnd w:id="7"/>
      <w:bookmarkEnd w:id="8"/>
    </w:p>
    <w:p w:rsidR="00241F1C" w:rsidRPr="00F947C6" w:rsidRDefault="00241F1C" w:rsidP="00F947C6">
      <w:pPr>
        <w:contextualSpacing/>
        <w:rPr>
          <w:rFonts w:ascii="Copperplate Gothic Light" w:hAnsi="Copperplate Gothic Light"/>
          <w:sz w:val="24"/>
        </w:rPr>
      </w:pPr>
      <w:bookmarkStart w:id="9" w:name="_Toc504058946"/>
      <w:bookmarkStart w:id="10" w:name="_Toc504487732"/>
      <w:bookmarkStart w:id="11" w:name="_Toc504487852"/>
      <w:r w:rsidRPr="00F947C6">
        <w:rPr>
          <w:rFonts w:ascii="Copperplate Gothic Light" w:hAnsi="Copperplate Gothic Light"/>
          <w:sz w:val="24"/>
        </w:rPr>
        <w:t>Procuradora Adjunta I</w:t>
      </w:r>
      <w:bookmarkEnd w:id="9"/>
      <w:bookmarkEnd w:id="10"/>
      <w:bookmarkEnd w:id="11"/>
    </w:p>
    <w:p w:rsidR="00241F1C" w:rsidRPr="00F947C6" w:rsidRDefault="00241F1C" w:rsidP="00F947C6">
      <w:pPr>
        <w:contextualSpacing/>
        <w:rPr>
          <w:rFonts w:ascii="Copperplate Gothic Light" w:hAnsi="Copperplate Gothic Light"/>
          <w:b/>
          <w:sz w:val="24"/>
        </w:rPr>
      </w:pPr>
    </w:p>
    <w:p w:rsidR="00241F1C" w:rsidRPr="00F947C6" w:rsidRDefault="00241F1C" w:rsidP="00F947C6">
      <w:pPr>
        <w:contextualSpacing/>
        <w:rPr>
          <w:rFonts w:ascii="Copperplate Gothic Light" w:hAnsi="Copperplate Gothic Light"/>
          <w:b/>
          <w:sz w:val="24"/>
        </w:rPr>
      </w:pPr>
      <w:bookmarkStart w:id="12" w:name="_Toc504058947"/>
      <w:bookmarkStart w:id="13" w:name="_Toc504487733"/>
      <w:bookmarkStart w:id="14" w:name="_Toc504487853"/>
      <w:r w:rsidRPr="00F947C6">
        <w:rPr>
          <w:rFonts w:ascii="Copperplate Gothic Light" w:hAnsi="Copperplate Gothic Light"/>
          <w:b/>
          <w:sz w:val="24"/>
        </w:rPr>
        <w:t xml:space="preserve">Claudia Caterina </w:t>
      </w:r>
      <w:proofErr w:type="spellStart"/>
      <w:r w:rsidRPr="00F947C6">
        <w:rPr>
          <w:rFonts w:ascii="Copperplate Gothic Light" w:hAnsi="Copperplate Gothic Light"/>
          <w:b/>
          <w:sz w:val="24"/>
        </w:rPr>
        <w:t>Maselli</w:t>
      </w:r>
      <w:proofErr w:type="spellEnd"/>
      <w:r w:rsidRPr="00F947C6">
        <w:rPr>
          <w:rFonts w:ascii="Copperplate Gothic Light" w:hAnsi="Copperplate Gothic Light"/>
          <w:b/>
          <w:sz w:val="24"/>
        </w:rPr>
        <w:t xml:space="preserve"> Loaiza</w:t>
      </w:r>
      <w:bookmarkEnd w:id="12"/>
      <w:bookmarkEnd w:id="13"/>
      <w:bookmarkEnd w:id="14"/>
    </w:p>
    <w:p w:rsidR="00241F1C" w:rsidRPr="00F947C6" w:rsidRDefault="00241F1C" w:rsidP="00F947C6">
      <w:pPr>
        <w:contextualSpacing/>
        <w:rPr>
          <w:rFonts w:ascii="Copperplate Gothic Light" w:hAnsi="Copperplate Gothic Light"/>
          <w:sz w:val="24"/>
        </w:rPr>
      </w:pPr>
      <w:bookmarkStart w:id="15" w:name="_Toc504058948"/>
      <w:bookmarkStart w:id="16" w:name="_Toc504487734"/>
      <w:bookmarkStart w:id="17" w:name="_Toc504487854"/>
      <w:r w:rsidRPr="00F947C6">
        <w:rPr>
          <w:rFonts w:ascii="Copperplate Gothic Light" w:hAnsi="Copperplate Gothic Light"/>
          <w:sz w:val="24"/>
        </w:rPr>
        <w:t>Procuradora Adjunta II</w:t>
      </w:r>
      <w:bookmarkEnd w:id="15"/>
      <w:bookmarkEnd w:id="16"/>
      <w:bookmarkEnd w:id="17"/>
    </w:p>
    <w:p w:rsidR="00241F1C" w:rsidRPr="00F947C6" w:rsidRDefault="00241F1C" w:rsidP="00F947C6">
      <w:pPr>
        <w:contextualSpacing/>
        <w:rPr>
          <w:rFonts w:ascii="Copperplate Gothic Light" w:hAnsi="Copperplate Gothic Light"/>
          <w:b/>
          <w:sz w:val="24"/>
        </w:rPr>
      </w:pPr>
    </w:p>
    <w:p w:rsidR="00241F1C" w:rsidRPr="00C83DB3" w:rsidRDefault="00241F1C" w:rsidP="00F947C6">
      <w:pPr>
        <w:contextualSpacing/>
        <w:rPr>
          <w:rFonts w:ascii="Copperplate Gothic Light" w:hAnsi="Copperplate Gothic Light"/>
          <w:b/>
          <w:sz w:val="24"/>
        </w:rPr>
      </w:pPr>
      <w:bookmarkStart w:id="18" w:name="_Toc504058949"/>
      <w:bookmarkStart w:id="19" w:name="_Toc504487735"/>
      <w:bookmarkStart w:id="20" w:name="_Toc504487855"/>
      <w:r w:rsidRPr="00C83DB3">
        <w:rPr>
          <w:rFonts w:ascii="Copperplate Gothic Light" w:hAnsi="Copperplate Gothic Light"/>
          <w:b/>
          <w:sz w:val="24"/>
        </w:rPr>
        <w:t xml:space="preserve">Claudia </w:t>
      </w:r>
      <w:r w:rsidR="00C83DB3" w:rsidRPr="00C83DB3">
        <w:rPr>
          <w:rFonts w:ascii="Copperplate Gothic Light" w:hAnsi="Copperplate Gothic Light"/>
          <w:b/>
          <w:sz w:val="24"/>
        </w:rPr>
        <w:t>Euge</w:t>
      </w:r>
      <w:r w:rsidRPr="00C83DB3">
        <w:rPr>
          <w:rFonts w:ascii="Copperplate Gothic Light" w:hAnsi="Copperplate Gothic Light"/>
          <w:b/>
          <w:sz w:val="24"/>
        </w:rPr>
        <w:t xml:space="preserve">nia </w:t>
      </w:r>
      <w:r w:rsidR="00C83DB3" w:rsidRPr="00C83DB3">
        <w:rPr>
          <w:rFonts w:ascii="Copperplate Gothic Light" w:hAnsi="Copperplate Gothic Light"/>
          <w:b/>
          <w:sz w:val="24"/>
        </w:rPr>
        <w:t>Caballeros</w:t>
      </w:r>
      <w:r w:rsidRPr="00C83DB3">
        <w:rPr>
          <w:rFonts w:ascii="Copperplate Gothic Light" w:hAnsi="Copperplate Gothic Light"/>
          <w:b/>
          <w:sz w:val="24"/>
        </w:rPr>
        <w:t xml:space="preserve"> </w:t>
      </w:r>
      <w:bookmarkEnd w:id="18"/>
      <w:bookmarkEnd w:id="19"/>
      <w:bookmarkEnd w:id="20"/>
      <w:r w:rsidR="00C83DB3" w:rsidRPr="00C83DB3">
        <w:rPr>
          <w:rFonts w:ascii="Copperplate Gothic Light" w:hAnsi="Copperplate Gothic Light"/>
          <w:b/>
          <w:sz w:val="24"/>
        </w:rPr>
        <w:t>Ordoñez</w:t>
      </w:r>
    </w:p>
    <w:p w:rsidR="00241F1C" w:rsidRPr="00F947C6" w:rsidRDefault="00241F1C" w:rsidP="00F947C6">
      <w:pPr>
        <w:contextualSpacing/>
        <w:rPr>
          <w:rFonts w:ascii="Copperplate Gothic Light" w:hAnsi="Copperplate Gothic Light"/>
          <w:sz w:val="24"/>
        </w:rPr>
      </w:pPr>
      <w:bookmarkStart w:id="21" w:name="_Toc504058950"/>
      <w:bookmarkStart w:id="22" w:name="_Toc504487736"/>
      <w:bookmarkStart w:id="23" w:name="_Toc504487856"/>
      <w:r w:rsidRPr="00C83DB3">
        <w:rPr>
          <w:rFonts w:ascii="Copperplate Gothic Light" w:hAnsi="Copperplate Gothic Light"/>
          <w:sz w:val="24"/>
        </w:rPr>
        <w:t>Secretaria General</w:t>
      </w:r>
      <w:bookmarkEnd w:id="21"/>
      <w:bookmarkEnd w:id="22"/>
      <w:bookmarkEnd w:id="23"/>
    </w:p>
    <w:p w:rsidR="00241F1C" w:rsidRPr="00F947C6" w:rsidRDefault="00241F1C" w:rsidP="00F947C6">
      <w:pPr>
        <w:contextualSpacing/>
        <w:rPr>
          <w:rFonts w:ascii="Copperplate Gothic Light" w:hAnsi="Copperplate Gothic Light"/>
          <w:b/>
          <w:sz w:val="24"/>
        </w:rPr>
      </w:pPr>
    </w:p>
    <w:p w:rsidR="00241F1C" w:rsidRPr="00F947C6" w:rsidRDefault="00C83DB3" w:rsidP="00F947C6">
      <w:pPr>
        <w:contextualSpacing/>
        <w:rPr>
          <w:rFonts w:ascii="Copperplate Gothic Light" w:hAnsi="Copperplate Gothic Light"/>
          <w:b/>
          <w:sz w:val="24"/>
        </w:rPr>
      </w:pPr>
      <w:r>
        <w:rPr>
          <w:rFonts w:ascii="Copperplate Gothic Light" w:hAnsi="Copperplate Gothic Light"/>
          <w:b/>
          <w:sz w:val="24"/>
        </w:rPr>
        <w:t>Lilian Roxana Sierra Vélez de Barrientos</w:t>
      </w:r>
    </w:p>
    <w:p w:rsidR="00241F1C" w:rsidRPr="00F947C6" w:rsidRDefault="00241F1C" w:rsidP="00F947C6">
      <w:pPr>
        <w:contextualSpacing/>
        <w:rPr>
          <w:rFonts w:ascii="Copperplate Gothic Light" w:hAnsi="Copperplate Gothic Light"/>
          <w:b/>
          <w:sz w:val="24"/>
        </w:rPr>
      </w:pPr>
      <w:r w:rsidRPr="00F947C6">
        <w:rPr>
          <w:rFonts w:ascii="Copperplate Gothic Light" w:hAnsi="Copperplate Gothic Light"/>
          <w:sz w:val="24"/>
        </w:rPr>
        <w:t>Secretaria de Acceso a la Información Pública</w:t>
      </w:r>
    </w:p>
    <w:p w:rsidR="00241F1C" w:rsidRPr="009D103B" w:rsidRDefault="00241F1C" w:rsidP="00F947C6">
      <w:pPr>
        <w:rPr>
          <w:b/>
        </w:rPr>
      </w:pPr>
    </w:p>
    <w:p w:rsidR="00241F1C" w:rsidRPr="009D103B" w:rsidRDefault="00241F1C" w:rsidP="00F947C6">
      <w:pPr>
        <w:rPr>
          <w:b/>
        </w:rPr>
      </w:pPr>
    </w:p>
    <w:p w:rsidR="00241F1C" w:rsidRPr="009D103B" w:rsidRDefault="00241F1C" w:rsidP="00F947C6">
      <w:pPr>
        <w:rPr>
          <w:b/>
        </w:rPr>
      </w:pPr>
    </w:p>
    <w:p w:rsidR="00241F1C" w:rsidRDefault="00241F1C" w:rsidP="00F947C6"/>
    <w:p w:rsidR="00241F1C" w:rsidRDefault="00241F1C" w:rsidP="00F947C6"/>
    <w:p w:rsidR="00B24436" w:rsidRPr="009D103B" w:rsidRDefault="00B24436" w:rsidP="00F947C6"/>
    <w:p w:rsidR="00241F1C" w:rsidRPr="009D103B" w:rsidRDefault="00241F1C" w:rsidP="00F947C6">
      <w:pPr>
        <w:jc w:val="center"/>
        <w:rPr>
          <w:b/>
        </w:rPr>
      </w:pPr>
      <w:bookmarkStart w:id="24" w:name="_Toc504058951"/>
      <w:bookmarkStart w:id="25" w:name="_Toc504487740"/>
      <w:bookmarkStart w:id="26" w:name="_Toc504487860"/>
      <w:r w:rsidRPr="009D103B">
        <w:rPr>
          <w:b/>
        </w:rPr>
        <w:t>Procurador de los Derechos Humanos</w:t>
      </w:r>
      <w:bookmarkEnd w:id="24"/>
      <w:bookmarkEnd w:id="25"/>
      <w:bookmarkEnd w:id="26"/>
    </w:p>
    <w:p w:rsidR="00241F1C" w:rsidRPr="009D103B" w:rsidRDefault="00241F1C" w:rsidP="00F947C6">
      <w:pPr>
        <w:jc w:val="center"/>
        <w:rPr>
          <w:b/>
        </w:rPr>
      </w:pPr>
      <w:bookmarkStart w:id="27" w:name="_Toc504058952"/>
      <w:bookmarkStart w:id="28" w:name="_Toc504487741"/>
      <w:bookmarkStart w:id="29" w:name="_Toc504487861"/>
      <w:r w:rsidRPr="009D103B">
        <w:rPr>
          <w:b/>
        </w:rPr>
        <w:t>12 avenida 12-54, zona 1, Guatemala, Centro América</w:t>
      </w:r>
      <w:bookmarkEnd w:id="27"/>
      <w:bookmarkEnd w:id="28"/>
      <w:bookmarkEnd w:id="29"/>
    </w:p>
    <w:p w:rsidR="00241F1C" w:rsidRPr="009D103B" w:rsidRDefault="00241F1C" w:rsidP="00F947C6">
      <w:pPr>
        <w:jc w:val="center"/>
        <w:rPr>
          <w:b/>
        </w:rPr>
      </w:pPr>
      <w:bookmarkStart w:id="30" w:name="_Toc504058953"/>
      <w:bookmarkStart w:id="31" w:name="_Toc504487742"/>
      <w:bookmarkStart w:id="32" w:name="_Toc504487862"/>
      <w:r w:rsidRPr="009D103B">
        <w:rPr>
          <w:b/>
        </w:rPr>
        <w:t>PBX: (502) 2424-1717</w:t>
      </w:r>
      <w:bookmarkEnd w:id="30"/>
      <w:bookmarkEnd w:id="31"/>
      <w:bookmarkEnd w:id="32"/>
    </w:p>
    <w:p w:rsidR="00241F1C" w:rsidRPr="009D103B" w:rsidRDefault="00241F1C" w:rsidP="00F947C6">
      <w:pPr>
        <w:jc w:val="center"/>
        <w:rPr>
          <w:b/>
        </w:rPr>
      </w:pPr>
      <w:bookmarkStart w:id="33" w:name="_Toc504058954"/>
      <w:bookmarkStart w:id="34" w:name="_Toc504487743"/>
      <w:bookmarkStart w:id="35" w:name="_Toc504487863"/>
      <w:r w:rsidRPr="009D103B">
        <w:rPr>
          <w:b/>
        </w:rPr>
        <w:t>Denuncias 1555</w:t>
      </w:r>
      <w:bookmarkEnd w:id="33"/>
      <w:bookmarkEnd w:id="34"/>
      <w:bookmarkEnd w:id="35"/>
    </w:p>
    <w:bookmarkStart w:id="36" w:name="_Toc504058955"/>
    <w:p w:rsidR="00956B0A" w:rsidRDefault="00241F1C" w:rsidP="00F947C6">
      <w:pPr>
        <w:jc w:val="center"/>
        <w:rPr>
          <w:b/>
        </w:rPr>
      </w:pPr>
      <w:r w:rsidRPr="009D103B">
        <w:rPr>
          <w:b/>
        </w:rPr>
        <w:fldChar w:fldCharType="begin"/>
      </w:r>
      <w:r w:rsidRPr="009D103B">
        <w:rPr>
          <w:b/>
        </w:rPr>
        <w:instrText xml:space="preserve"> HYPERLINK "http://www.pdh.org.gt" </w:instrText>
      </w:r>
      <w:r w:rsidRPr="009D103B">
        <w:rPr>
          <w:b/>
        </w:rPr>
        <w:fldChar w:fldCharType="separate"/>
      </w:r>
      <w:bookmarkStart w:id="37" w:name="_Toc504487744"/>
      <w:bookmarkStart w:id="38" w:name="_Toc504487864"/>
      <w:r w:rsidRPr="009D103B">
        <w:rPr>
          <w:rStyle w:val="Hipervnculo"/>
          <w:rFonts w:ascii="Calibri" w:hAnsi="Calibri"/>
          <w:b/>
        </w:rPr>
        <w:t>www.pdh.org.gt</w:t>
      </w:r>
      <w:bookmarkEnd w:id="36"/>
      <w:bookmarkEnd w:id="37"/>
      <w:bookmarkEnd w:id="38"/>
      <w:r w:rsidRPr="009D103B">
        <w:rPr>
          <w:b/>
        </w:rPr>
        <w:fldChar w:fldCharType="end"/>
      </w:r>
    </w:p>
    <w:p w:rsidR="0032626C" w:rsidRDefault="0032626C" w:rsidP="00F947C6">
      <w:pPr>
        <w:jc w:val="center"/>
        <w:rPr>
          <w:b/>
        </w:rPr>
      </w:pPr>
    </w:p>
    <w:p w:rsidR="0032626C" w:rsidRPr="00B24436" w:rsidRDefault="0032626C" w:rsidP="0032626C">
      <w:pPr>
        <w:jc w:val="center"/>
        <w:rPr>
          <w:b/>
          <w:sz w:val="24"/>
        </w:rPr>
      </w:pPr>
      <w:bookmarkStart w:id="39" w:name="_Toc504487745"/>
      <w:bookmarkStart w:id="40" w:name="_Toc504487865"/>
      <w:r w:rsidRPr="009D103B">
        <w:rPr>
          <w:b/>
          <w:sz w:val="20"/>
        </w:rPr>
        <w:t>Se autoriza la reproducción total o parcial, citando la fuente.</w:t>
      </w:r>
      <w:bookmarkEnd w:id="39"/>
      <w:bookmarkEnd w:id="40"/>
    </w:p>
    <w:p w:rsidR="0032626C" w:rsidRDefault="0032626C" w:rsidP="00F947C6">
      <w:pPr>
        <w:jc w:val="center"/>
        <w:rPr>
          <w:b/>
        </w:rPr>
      </w:pPr>
    </w:p>
    <w:p w:rsidR="00956B0A" w:rsidRDefault="00956B0A">
      <w:pPr>
        <w:rPr>
          <w:b/>
        </w:rPr>
      </w:pPr>
      <w:r>
        <w:rPr>
          <w:b/>
        </w:rPr>
        <w:br w:type="page"/>
      </w:r>
    </w:p>
    <w:p w:rsidR="00241F1C" w:rsidRPr="009D103B" w:rsidRDefault="00241F1C" w:rsidP="00F947C6">
      <w:pPr>
        <w:jc w:val="center"/>
        <w:rPr>
          <w:b/>
        </w:rPr>
      </w:pPr>
    </w:p>
    <w:p w:rsidR="00241F1C" w:rsidRPr="009D103B" w:rsidRDefault="00241F1C" w:rsidP="00F947C6"/>
    <w:sdt>
      <w:sdtPr>
        <w:rPr>
          <w:rFonts w:asciiTheme="minorHAnsi" w:eastAsiaTheme="minorEastAsia" w:hAnsiTheme="minorHAnsi" w:cstheme="minorBidi"/>
          <w:b w:val="0"/>
          <w:sz w:val="22"/>
          <w:szCs w:val="22"/>
          <w:lang w:val="es-ES"/>
        </w:rPr>
        <w:id w:val="46886792"/>
        <w:docPartObj>
          <w:docPartGallery w:val="Table of Contents"/>
          <w:docPartUnique/>
        </w:docPartObj>
      </w:sdtPr>
      <w:sdtEndPr>
        <w:rPr>
          <w:bCs/>
        </w:rPr>
      </w:sdtEndPr>
      <w:sdtContent>
        <w:p w:rsidR="00D84FA3" w:rsidRDefault="00D84FA3" w:rsidP="001A67EC">
          <w:pPr>
            <w:pStyle w:val="TtuloTDC"/>
          </w:pPr>
          <w:r>
            <w:rPr>
              <w:lang w:val="es-ES"/>
            </w:rPr>
            <w:t>Contenido</w:t>
          </w:r>
        </w:p>
        <w:p w:rsidR="0032626C" w:rsidRPr="0032626C" w:rsidRDefault="00D84FA3">
          <w:pPr>
            <w:pStyle w:val="TDC1"/>
            <w:tabs>
              <w:tab w:val="right" w:leader="dot" w:pos="8969"/>
            </w:tabs>
            <w:rPr>
              <w:noProof/>
              <w:lang w:eastAsia="es-GT"/>
            </w:rPr>
          </w:pPr>
          <w:r>
            <w:fldChar w:fldCharType="begin"/>
          </w:r>
          <w:r>
            <w:instrText xml:space="preserve"> TOC \o "1-3" \h \z \u </w:instrText>
          </w:r>
          <w:r>
            <w:fldChar w:fldCharType="separate"/>
          </w:r>
          <w:hyperlink w:anchor="_Toc60223884" w:history="1">
            <w:r w:rsidR="0032626C" w:rsidRPr="0032626C">
              <w:rPr>
                <w:rStyle w:val="Hipervnculo"/>
                <w:noProof/>
              </w:rPr>
              <w:t>INTRODUCCIÓN</w:t>
            </w:r>
            <w:r w:rsidR="0032626C" w:rsidRPr="0032626C">
              <w:rPr>
                <w:noProof/>
                <w:webHidden/>
              </w:rPr>
              <w:tab/>
            </w:r>
            <w:r w:rsidR="0032626C" w:rsidRPr="0032626C">
              <w:rPr>
                <w:noProof/>
                <w:webHidden/>
              </w:rPr>
              <w:fldChar w:fldCharType="begin"/>
            </w:r>
            <w:r w:rsidR="0032626C" w:rsidRPr="0032626C">
              <w:rPr>
                <w:noProof/>
                <w:webHidden/>
              </w:rPr>
              <w:instrText xml:space="preserve"> PAGEREF _Toc60223884 \h </w:instrText>
            </w:r>
            <w:r w:rsidR="0032626C" w:rsidRPr="0032626C">
              <w:rPr>
                <w:noProof/>
                <w:webHidden/>
              </w:rPr>
            </w:r>
            <w:r w:rsidR="0032626C" w:rsidRPr="0032626C">
              <w:rPr>
                <w:noProof/>
                <w:webHidden/>
              </w:rPr>
              <w:fldChar w:fldCharType="separate"/>
            </w:r>
            <w:r w:rsidR="0032626C" w:rsidRPr="0032626C">
              <w:rPr>
                <w:noProof/>
                <w:webHidden/>
              </w:rPr>
              <w:t>4</w:t>
            </w:r>
            <w:r w:rsidR="0032626C" w:rsidRPr="0032626C">
              <w:rPr>
                <w:noProof/>
                <w:webHidden/>
              </w:rPr>
              <w:fldChar w:fldCharType="end"/>
            </w:r>
          </w:hyperlink>
        </w:p>
        <w:p w:rsidR="0032626C" w:rsidRPr="0032626C" w:rsidRDefault="0032626C">
          <w:pPr>
            <w:pStyle w:val="TDC1"/>
            <w:tabs>
              <w:tab w:val="right" w:leader="dot" w:pos="8969"/>
            </w:tabs>
            <w:rPr>
              <w:noProof/>
              <w:lang w:eastAsia="es-GT"/>
            </w:rPr>
          </w:pPr>
          <w:hyperlink w:anchor="_Toc60223885" w:history="1">
            <w:r w:rsidRPr="0032626C">
              <w:rPr>
                <w:rStyle w:val="Hipervnculo"/>
                <w:noProof/>
              </w:rPr>
              <w:t>MARCO LEGAL</w:t>
            </w:r>
            <w:r w:rsidRPr="0032626C">
              <w:rPr>
                <w:noProof/>
                <w:webHidden/>
              </w:rPr>
              <w:tab/>
            </w:r>
            <w:r w:rsidRPr="0032626C">
              <w:rPr>
                <w:noProof/>
                <w:webHidden/>
              </w:rPr>
              <w:fldChar w:fldCharType="begin"/>
            </w:r>
            <w:r w:rsidRPr="0032626C">
              <w:rPr>
                <w:noProof/>
                <w:webHidden/>
              </w:rPr>
              <w:instrText xml:space="preserve"> PAGEREF _Toc60223885 \h </w:instrText>
            </w:r>
            <w:r w:rsidRPr="0032626C">
              <w:rPr>
                <w:noProof/>
                <w:webHidden/>
              </w:rPr>
            </w:r>
            <w:r w:rsidRPr="0032626C">
              <w:rPr>
                <w:noProof/>
                <w:webHidden/>
              </w:rPr>
              <w:fldChar w:fldCharType="separate"/>
            </w:r>
            <w:r w:rsidRPr="0032626C">
              <w:rPr>
                <w:noProof/>
                <w:webHidden/>
              </w:rPr>
              <w:t>5</w:t>
            </w:r>
            <w:r w:rsidRPr="0032626C">
              <w:rPr>
                <w:noProof/>
                <w:webHidden/>
              </w:rPr>
              <w:fldChar w:fldCharType="end"/>
            </w:r>
          </w:hyperlink>
        </w:p>
        <w:p w:rsidR="0032626C" w:rsidRPr="0032626C" w:rsidRDefault="0032626C">
          <w:pPr>
            <w:pStyle w:val="TDC1"/>
            <w:tabs>
              <w:tab w:val="right" w:leader="dot" w:pos="8969"/>
            </w:tabs>
            <w:rPr>
              <w:noProof/>
              <w:lang w:eastAsia="es-GT"/>
            </w:rPr>
          </w:pPr>
          <w:hyperlink w:anchor="_Toc60223886" w:history="1">
            <w:r w:rsidRPr="0032626C">
              <w:rPr>
                <w:rStyle w:val="Hipervnculo"/>
                <w:noProof/>
              </w:rPr>
              <w:t>OBJETIVO Y METODOLOGÍA</w:t>
            </w:r>
            <w:r w:rsidRPr="0032626C">
              <w:rPr>
                <w:noProof/>
                <w:webHidden/>
              </w:rPr>
              <w:tab/>
            </w:r>
            <w:r w:rsidRPr="0032626C">
              <w:rPr>
                <w:noProof/>
                <w:webHidden/>
              </w:rPr>
              <w:fldChar w:fldCharType="begin"/>
            </w:r>
            <w:r w:rsidRPr="0032626C">
              <w:rPr>
                <w:noProof/>
                <w:webHidden/>
              </w:rPr>
              <w:instrText xml:space="preserve"> PAGEREF _Toc60223886 \h </w:instrText>
            </w:r>
            <w:r w:rsidRPr="0032626C">
              <w:rPr>
                <w:noProof/>
                <w:webHidden/>
              </w:rPr>
            </w:r>
            <w:r w:rsidRPr="0032626C">
              <w:rPr>
                <w:noProof/>
                <w:webHidden/>
              </w:rPr>
              <w:fldChar w:fldCharType="separate"/>
            </w:r>
            <w:r w:rsidRPr="0032626C">
              <w:rPr>
                <w:noProof/>
                <w:webHidden/>
              </w:rPr>
              <w:t>7</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87" w:history="1">
            <w:r w:rsidRPr="0032626C">
              <w:rPr>
                <w:rStyle w:val="Hipervnculo"/>
                <w:rFonts w:ascii="Times New Roman" w:hAnsi="Times New Roman" w:cs="Times New Roman"/>
                <w:noProof/>
              </w:rPr>
              <w:t>Objetivo General</w:t>
            </w:r>
            <w:r w:rsidRPr="0032626C">
              <w:rPr>
                <w:noProof/>
                <w:webHidden/>
              </w:rPr>
              <w:tab/>
            </w:r>
            <w:r w:rsidRPr="0032626C">
              <w:rPr>
                <w:noProof/>
                <w:webHidden/>
              </w:rPr>
              <w:fldChar w:fldCharType="begin"/>
            </w:r>
            <w:r w:rsidRPr="0032626C">
              <w:rPr>
                <w:noProof/>
                <w:webHidden/>
              </w:rPr>
              <w:instrText xml:space="preserve"> PAGEREF _Toc60223887 \h </w:instrText>
            </w:r>
            <w:r w:rsidRPr="0032626C">
              <w:rPr>
                <w:noProof/>
                <w:webHidden/>
              </w:rPr>
            </w:r>
            <w:r w:rsidRPr="0032626C">
              <w:rPr>
                <w:noProof/>
                <w:webHidden/>
              </w:rPr>
              <w:fldChar w:fldCharType="separate"/>
            </w:r>
            <w:r w:rsidRPr="0032626C">
              <w:rPr>
                <w:noProof/>
                <w:webHidden/>
              </w:rPr>
              <w:t>7</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88" w:history="1">
            <w:r w:rsidRPr="0032626C">
              <w:rPr>
                <w:rStyle w:val="Hipervnculo"/>
                <w:rFonts w:ascii="Times New Roman" w:hAnsi="Times New Roman" w:cs="Times New Roman"/>
                <w:noProof/>
              </w:rPr>
              <w:t>Metodología</w:t>
            </w:r>
            <w:r w:rsidRPr="0032626C">
              <w:rPr>
                <w:noProof/>
                <w:webHidden/>
              </w:rPr>
              <w:tab/>
            </w:r>
            <w:r w:rsidRPr="0032626C">
              <w:rPr>
                <w:noProof/>
                <w:webHidden/>
              </w:rPr>
              <w:fldChar w:fldCharType="begin"/>
            </w:r>
            <w:r w:rsidRPr="0032626C">
              <w:rPr>
                <w:noProof/>
                <w:webHidden/>
              </w:rPr>
              <w:instrText xml:space="preserve"> PAGEREF _Toc60223888 \h </w:instrText>
            </w:r>
            <w:r w:rsidRPr="0032626C">
              <w:rPr>
                <w:noProof/>
                <w:webHidden/>
              </w:rPr>
            </w:r>
            <w:r w:rsidRPr="0032626C">
              <w:rPr>
                <w:noProof/>
                <w:webHidden/>
              </w:rPr>
              <w:fldChar w:fldCharType="separate"/>
            </w:r>
            <w:r w:rsidRPr="0032626C">
              <w:rPr>
                <w:noProof/>
                <w:webHidden/>
              </w:rPr>
              <w:t>7</w:t>
            </w:r>
            <w:r w:rsidRPr="0032626C">
              <w:rPr>
                <w:noProof/>
                <w:webHidden/>
              </w:rPr>
              <w:fldChar w:fldCharType="end"/>
            </w:r>
          </w:hyperlink>
        </w:p>
        <w:p w:rsidR="0032626C" w:rsidRPr="0032626C" w:rsidRDefault="0032626C">
          <w:pPr>
            <w:pStyle w:val="TDC1"/>
            <w:tabs>
              <w:tab w:val="right" w:leader="dot" w:pos="8969"/>
            </w:tabs>
            <w:rPr>
              <w:noProof/>
              <w:lang w:eastAsia="es-GT"/>
            </w:rPr>
          </w:pPr>
          <w:hyperlink w:anchor="_Toc60223889" w:history="1">
            <w:r w:rsidRPr="0032626C">
              <w:rPr>
                <w:rStyle w:val="Hipervnculo"/>
                <w:noProof/>
              </w:rPr>
              <w:t>RESULTADOS DE LA SUPERVISIÓN</w:t>
            </w:r>
            <w:r w:rsidRPr="0032626C">
              <w:rPr>
                <w:noProof/>
                <w:webHidden/>
              </w:rPr>
              <w:tab/>
            </w:r>
            <w:r w:rsidRPr="0032626C">
              <w:rPr>
                <w:noProof/>
                <w:webHidden/>
              </w:rPr>
              <w:fldChar w:fldCharType="begin"/>
            </w:r>
            <w:r w:rsidRPr="0032626C">
              <w:rPr>
                <w:noProof/>
                <w:webHidden/>
              </w:rPr>
              <w:instrText xml:space="preserve"> PAGEREF _Toc60223889 \h </w:instrText>
            </w:r>
            <w:r w:rsidRPr="0032626C">
              <w:rPr>
                <w:noProof/>
                <w:webHidden/>
              </w:rPr>
            </w:r>
            <w:r w:rsidRPr="0032626C">
              <w:rPr>
                <w:noProof/>
                <w:webHidden/>
              </w:rPr>
              <w:fldChar w:fldCharType="separate"/>
            </w:r>
            <w:r w:rsidRPr="0032626C">
              <w:rPr>
                <w:noProof/>
                <w:webHidden/>
              </w:rPr>
              <w:t>10</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0" w:history="1">
            <w:r w:rsidRPr="0032626C">
              <w:rPr>
                <w:rStyle w:val="Hipervnculo"/>
                <w:rFonts w:ascii="Times New Roman" w:hAnsi="Times New Roman" w:cs="Times New Roman"/>
                <w:noProof/>
              </w:rPr>
              <w:t>Nivel de cumplimiento general de portales electrónicos de los organismos del Estado 2020</w:t>
            </w:r>
            <w:r w:rsidRPr="0032626C">
              <w:rPr>
                <w:noProof/>
                <w:webHidden/>
              </w:rPr>
              <w:tab/>
            </w:r>
            <w:r w:rsidRPr="0032626C">
              <w:rPr>
                <w:noProof/>
                <w:webHidden/>
              </w:rPr>
              <w:fldChar w:fldCharType="begin"/>
            </w:r>
            <w:r w:rsidRPr="0032626C">
              <w:rPr>
                <w:noProof/>
                <w:webHidden/>
              </w:rPr>
              <w:instrText xml:space="preserve"> PAGEREF _Toc60223890 \h </w:instrText>
            </w:r>
            <w:r w:rsidRPr="0032626C">
              <w:rPr>
                <w:noProof/>
                <w:webHidden/>
              </w:rPr>
            </w:r>
            <w:r w:rsidRPr="0032626C">
              <w:rPr>
                <w:noProof/>
                <w:webHidden/>
              </w:rPr>
              <w:fldChar w:fldCharType="separate"/>
            </w:r>
            <w:r w:rsidRPr="0032626C">
              <w:rPr>
                <w:noProof/>
                <w:webHidden/>
              </w:rPr>
              <w:t>10</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1" w:history="1">
            <w:r w:rsidRPr="0032626C">
              <w:rPr>
                <w:rStyle w:val="Hipervnculo"/>
                <w:rFonts w:ascii="Times New Roman" w:hAnsi="Times New Roman" w:cs="Times New Roman"/>
                <w:noProof/>
              </w:rPr>
              <w:t>Gráfica que refleja el nivel de cumplimiento general de los portales electrónicos de los organismos del Estado 2020</w:t>
            </w:r>
            <w:r w:rsidRPr="0032626C">
              <w:rPr>
                <w:noProof/>
                <w:webHidden/>
              </w:rPr>
              <w:tab/>
            </w:r>
            <w:r w:rsidRPr="0032626C">
              <w:rPr>
                <w:noProof/>
                <w:webHidden/>
              </w:rPr>
              <w:fldChar w:fldCharType="begin"/>
            </w:r>
            <w:r w:rsidRPr="0032626C">
              <w:rPr>
                <w:noProof/>
                <w:webHidden/>
              </w:rPr>
              <w:instrText xml:space="preserve"> PAGEREF _Toc60223891 \h </w:instrText>
            </w:r>
            <w:r w:rsidRPr="0032626C">
              <w:rPr>
                <w:noProof/>
                <w:webHidden/>
              </w:rPr>
            </w:r>
            <w:r w:rsidRPr="0032626C">
              <w:rPr>
                <w:noProof/>
                <w:webHidden/>
              </w:rPr>
              <w:fldChar w:fldCharType="separate"/>
            </w:r>
            <w:r w:rsidRPr="0032626C">
              <w:rPr>
                <w:noProof/>
                <w:webHidden/>
              </w:rPr>
              <w:t>10</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2" w:history="1">
            <w:r w:rsidRPr="0032626C">
              <w:rPr>
                <w:rStyle w:val="Hipervnculo"/>
                <w:rFonts w:ascii="Times New Roman" w:hAnsi="Times New Roman" w:cs="Times New Roman"/>
                <w:noProof/>
              </w:rPr>
              <w:t>Comparativo del nivel de cumplimiento de portales electrónicos 2019-2020 de los organismos del Estado</w:t>
            </w:r>
            <w:r w:rsidRPr="0032626C">
              <w:rPr>
                <w:noProof/>
                <w:webHidden/>
              </w:rPr>
              <w:tab/>
            </w:r>
            <w:r w:rsidRPr="0032626C">
              <w:rPr>
                <w:noProof/>
                <w:webHidden/>
              </w:rPr>
              <w:fldChar w:fldCharType="begin"/>
            </w:r>
            <w:r w:rsidRPr="0032626C">
              <w:rPr>
                <w:noProof/>
                <w:webHidden/>
              </w:rPr>
              <w:instrText xml:space="preserve"> PAGEREF _Toc60223892 \h </w:instrText>
            </w:r>
            <w:r w:rsidRPr="0032626C">
              <w:rPr>
                <w:noProof/>
                <w:webHidden/>
              </w:rPr>
            </w:r>
            <w:r w:rsidRPr="0032626C">
              <w:rPr>
                <w:noProof/>
                <w:webHidden/>
              </w:rPr>
              <w:fldChar w:fldCharType="separate"/>
            </w:r>
            <w:r w:rsidRPr="0032626C">
              <w:rPr>
                <w:noProof/>
                <w:webHidden/>
              </w:rPr>
              <w:t>11</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3" w:history="1">
            <w:r w:rsidRPr="0032626C">
              <w:rPr>
                <w:rStyle w:val="Hipervnculo"/>
                <w:rFonts w:ascii="Times New Roman" w:hAnsi="Times New Roman" w:cs="Times New Roman"/>
                <w:noProof/>
              </w:rPr>
              <w:t>Gráfica comparativa del nivel de cumplimiento general de los portales electrónicos de los organismos del Estado en los años 2019-2020.</w:t>
            </w:r>
            <w:r w:rsidRPr="0032626C">
              <w:rPr>
                <w:noProof/>
                <w:webHidden/>
              </w:rPr>
              <w:tab/>
            </w:r>
            <w:r w:rsidRPr="0032626C">
              <w:rPr>
                <w:noProof/>
                <w:webHidden/>
              </w:rPr>
              <w:fldChar w:fldCharType="begin"/>
            </w:r>
            <w:r w:rsidRPr="0032626C">
              <w:rPr>
                <w:noProof/>
                <w:webHidden/>
              </w:rPr>
              <w:instrText xml:space="preserve"> PAGEREF _Toc60223893 \h </w:instrText>
            </w:r>
            <w:r w:rsidRPr="0032626C">
              <w:rPr>
                <w:noProof/>
                <w:webHidden/>
              </w:rPr>
            </w:r>
            <w:r w:rsidRPr="0032626C">
              <w:rPr>
                <w:noProof/>
                <w:webHidden/>
              </w:rPr>
              <w:fldChar w:fldCharType="separate"/>
            </w:r>
            <w:r w:rsidRPr="0032626C">
              <w:rPr>
                <w:noProof/>
                <w:webHidden/>
              </w:rPr>
              <w:t>11</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4" w:history="1">
            <w:r w:rsidRPr="0032626C">
              <w:rPr>
                <w:rStyle w:val="Hipervnculo"/>
                <w:rFonts w:ascii="Times New Roman" w:hAnsi="Times New Roman" w:cs="Times New Roman"/>
                <w:noProof/>
              </w:rPr>
              <w:t>Organismo Ejecutivo</w:t>
            </w:r>
            <w:r w:rsidRPr="0032626C">
              <w:rPr>
                <w:noProof/>
                <w:webHidden/>
              </w:rPr>
              <w:tab/>
            </w:r>
            <w:r w:rsidRPr="0032626C">
              <w:rPr>
                <w:noProof/>
                <w:webHidden/>
              </w:rPr>
              <w:fldChar w:fldCharType="begin"/>
            </w:r>
            <w:r w:rsidRPr="0032626C">
              <w:rPr>
                <w:noProof/>
                <w:webHidden/>
              </w:rPr>
              <w:instrText xml:space="preserve"> PAGEREF _Toc60223894 \h </w:instrText>
            </w:r>
            <w:r w:rsidRPr="0032626C">
              <w:rPr>
                <w:noProof/>
                <w:webHidden/>
              </w:rPr>
            </w:r>
            <w:r w:rsidRPr="0032626C">
              <w:rPr>
                <w:noProof/>
                <w:webHidden/>
              </w:rPr>
              <w:fldChar w:fldCharType="separate"/>
            </w:r>
            <w:r w:rsidRPr="0032626C">
              <w:rPr>
                <w:noProof/>
                <w:webHidden/>
              </w:rPr>
              <w:t>12</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5" w:history="1">
            <w:r w:rsidRPr="0032626C">
              <w:rPr>
                <w:rStyle w:val="Hipervnculo"/>
                <w:rFonts w:ascii="Times New Roman" w:hAnsi="Times New Roman" w:cs="Times New Roman"/>
                <w:noProof/>
              </w:rPr>
              <w:t>Desagregación de entidades del Organismo Ejecutivo</w:t>
            </w:r>
            <w:r w:rsidRPr="0032626C">
              <w:rPr>
                <w:noProof/>
                <w:webHidden/>
              </w:rPr>
              <w:tab/>
            </w:r>
            <w:r w:rsidRPr="0032626C">
              <w:rPr>
                <w:noProof/>
                <w:webHidden/>
              </w:rPr>
              <w:fldChar w:fldCharType="begin"/>
            </w:r>
            <w:r w:rsidRPr="0032626C">
              <w:rPr>
                <w:noProof/>
                <w:webHidden/>
              </w:rPr>
              <w:instrText xml:space="preserve"> PAGEREF _Toc60223895 \h </w:instrText>
            </w:r>
            <w:r w:rsidRPr="0032626C">
              <w:rPr>
                <w:noProof/>
                <w:webHidden/>
              </w:rPr>
            </w:r>
            <w:r w:rsidRPr="0032626C">
              <w:rPr>
                <w:noProof/>
                <w:webHidden/>
              </w:rPr>
              <w:fldChar w:fldCharType="separate"/>
            </w:r>
            <w:r w:rsidRPr="0032626C">
              <w:rPr>
                <w:noProof/>
                <w:webHidden/>
              </w:rPr>
              <w:t>14</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6" w:history="1">
            <w:r w:rsidRPr="0032626C">
              <w:rPr>
                <w:rStyle w:val="Hipervnculo"/>
                <w:rFonts w:ascii="Times New Roman" w:hAnsi="Times New Roman" w:cs="Times New Roman"/>
                <w:noProof/>
              </w:rPr>
              <w:t>Gráfica comparativa del promedio del nivel de cumplimiento de los portales electrónicos de los sectores del Organismo Ejecutivo en los años 2019-2020</w:t>
            </w:r>
            <w:r w:rsidRPr="0032626C">
              <w:rPr>
                <w:noProof/>
                <w:webHidden/>
              </w:rPr>
              <w:tab/>
            </w:r>
            <w:r w:rsidRPr="0032626C">
              <w:rPr>
                <w:noProof/>
                <w:webHidden/>
              </w:rPr>
              <w:fldChar w:fldCharType="begin"/>
            </w:r>
            <w:r w:rsidRPr="0032626C">
              <w:rPr>
                <w:noProof/>
                <w:webHidden/>
              </w:rPr>
              <w:instrText xml:space="preserve"> PAGEREF _Toc60223896 \h </w:instrText>
            </w:r>
            <w:r w:rsidRPr="0032626C">
              <w:rPr>
                <w:noProof/>
                <w:webHidden/>
              </w:rPr>
            </w:r>
            <w:r w:rsidRPr="0032626C">
              <w:rPr>
                <w:noProof/>
                <w:webHidden/>
              </w:rPr>
              <w:fldChar w:fldCharType="separate"/>
            </w:r>
            <w:r w:rsidRPr="0032626C">
              <w:rPr>
                <w:noProof/>
                <w:webHidden/>
              </w:rPr>
              <w:t>14</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7" w:history="1">
            <w:r w:rsidRPr="0032626C">
              <w:rPr>
                <w:rStyle w:val="Hipervnculo"/>
                <w:rFonts w:ascii="Times New Roman" w:hAnsi="Times New Roman" w:cs="Times New Roman"/>
                <w:noProof/>
              </w:rPr>
              <w:t>Comparativo del nivel de cumplimiento de los portales electrónicos de las secretarías en los años 2019-2020</w:t>
            </w:r>
            <w:r w:rsidRPr="0032626C">
              <w:rPr>
                <w:noProof/>
                <w:webHidden/>
              </w:rPr>
              <w:tab/>
            </w:r>
            <w:r w:rsidRPr="0032626C">
              <w:rPr>
                <w:noProof/>
                <w:webHidden/>
              </w:rPr>
              <w:fldChar w:fldCharType="begin"/>
            </w:r>
            <w:r w:rsidRPr="0032626C">
              <w:rPr>
                <w:noProof/>
                <w:webHidden/>
              </w:rPr>
              <w:instrText xml:space="preserve"> PAGEREF _Toc60223897 \h </w:instrText>
            </w:r>
            <w:r w:rsidRPr="0032626C">
              <w:rPr>
                <w:noProof/>
                <w:webHidden/>
              </w:rPr>
            </w:r>
            <w:r w:rsidRPr="0032626C">
              <w:rPr>
                <w:noProof/>
                <w:webHidden/>
              </w:rPr>
              <w:fldChar w:fldCharType="separate"/>
            </w:r>
            <w:r w:rsidRPr="0032626C">
              <w:rPr>
                <w:noProof/>
                <w:webHidden/>
              </w:rPr>
              <w:t>14</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8" w:history="1">
            <w:r w:rsidRPr="0032626C">
              <w:rPr>
                <w:rStyle w:val="Hipervnculo"/>
                <w:rFonts w:ascii="Times New Roman" w:hAnsi="Times New Roman" w:cs="Times New Roman"/>
                <w:noProof/>
              </w:rPr>
              <w:t>Comparativo del nivel de cumplimiento de los portales electrónicos de los ministerios en los años 2019-2020</w:t>
            </w:r>
            <w:r w:rsidRPr="0032626C">
              <w:rPr>
                <w:noProof/>
                <w:webHidden/>
              </w:rPr>
              <w:tab/>
            </w:r>
            <w:r w:rsidRPr="0032626C">
              <w:rPr>
                <w:noProof/>
                <w:webHidden/>
              </w:rPr>
              <w:fldChar w:fldCharType="begin"/>
            </w:r>
            <w:r w:rsidRPr="0032626C">
              <w:rPr>
                <w:noProof/>
                <w:webHidden/>
              </w:rPr>
              <w:instrText xml:space="preserve"> PAGEREF _Toc60223898 \h </w:instrText>
            </w:r>
            <w:r w:rsidRPr="0032626C">
              <w:rPr>
                <w:noProof/>
                <w:webHidden/>
              </w:rPr>
            </w:r>
            <w:r w:rsidRPr="0032626C">
              <w:rPr>
                <w:noProof/>
                <w:webHidden/>
              </w:rPr>
              <w:fldChar w:fldCharType="separate"/>
            </w:r>
            <w:r w:rsidRPr="0032626C">
              <w:rPr>
                <w:noProof/>
                <w:webHidden/>
              </w:rPr>
              <w:t>15</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899" w:history="1">
            <w:r w:rsidRPr="0032626C">
              <w:rPr>
                <w:rStyle w:val="Hipervnculo"/>
                <w:rFonts w:ascii="Times New Roman" w:hAnsi="Times New Roman" w:cs="Times New Roman"/>
                <w:noProof/>
              </w:rPr>
              <w:t>Comparativo del nivel de cumplimiento de los portales electrónicos de otras entidades del Organismo Ejecutivo en los años 2019-2020</w:t>
            </w:r>
            <w:r w:rsidRPr="0032626C">
              <w:rPr>
                <w:noProof/>
                <w:webHidden/>
              </w:rPr>
              <w:tab/>
            </w:r>
            <w:r w:rsidRPr="0032626C">
              <w:rPr>
                <w:noProof/>
                <w:webHidden/>
              </w:rPr>
              <w:fldChar w:fldCharType="begin"/>
            </w:r>
            <w:r w:rsidRPr="0032626C">
              <w:rPr>
                <w:noProof/>
                <w:webHidden/>
              </w:rPr>
              <w:instrText xml:space="preserve"> PAGEREF _Toc60223899 \h </w:instrText>
            </w:r>
            <w:r w:rsidRPr="0032626C">
              <w:rPr>
                <w:noProof/>
                <w:webHidden/>
              </w:rPr>
            </w:r>
            <w:r w:rsidRPr="0032626C">
              <w:rPr>
                <w:noProof/>
                <w:webHidden/>
              </w:rPr>
              <w:fldChar w:fldCharType="separate"/>
            </w:r>
            <w:r w:rsidRPr="0032626C">
              <w:rPr>
                <w:noProof/>
                <w:webHidden/>
              </w:rPr>
              <w:t>16</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900" w:history="1">
            <w:r w:rsidRPr="0032626C">
              <w:rPr>
                <w:rStyle w:val="Hipervnculo"/>
                <w:rFonts w:ascii="Times New Roman" w:hAnsi="Times New Roman" w:cs="Times New Roman"/>
                <w:noProof/>
              </w:rPr>
              <w:t>Comparativo del nivel de cumplimiento de los portales electrónicos de las gobernaciones departamentales en los años 2019-2020</w:t>
            </w:r>
            <w:r w:rsidRPr="0032626C">
              <w:rPr>
                <w:noProof/>
                <w:webHidden/>
              </w:rPr>
              <w:tab/>
            </w:r>
            <w:r w:rsidRPr="0032626C">
              <w:rPr>
                <w:noProof/>
                <w:webHidden/>
              </w:rPr>
              <w:fldChar w:fldCharType="begin"/>
            </w:r>
            <w:r w:rsidRPr="0032626C">
              <w:rPr>
                <w:noProof/>
                <w:webHidden/>
              </w:rPr>
              <w:instrText xml:space="preserve"> PAGEREF _Toc60223900 \h </w:instrText>
            </w:r>
            <w:r w:rsidRPr="0032626C">
              <w:rPr>
                <w:noProof/>
                <w:webHidden/>
              </w:rPr>
            </w:r>
            <w:r w:rsidRPr="0032626C">
              <w:rPr>
                <w:noProof/>
                <w:webHidden/>
              </w:rPr>
              <w:fldChar w:fldCharType="separate"/>
            </w:r>
            <w:r w:rsidRPr="0032626C">
              <w:rPr>
                <w:noProof/>
                <w:webHidden/>
              </w:rPr>
              <w:t>16</w:t>
            </w:r>
            <w:r w:rsidRPr="0032626C">
              <w:rPr>
                <w:noProof/>
                <w:webHidden/>
              </w:rPr>
              <w:fldChar w:fldCharType="end"/>
            </w:r>
          </w:hyperlink>
        </w:p>
        <w:p w:rsidR="0032626C" w:rsidRPr="0032626C" w:rsidRDefault="0032626C">
          <w:pPr>
            <w:pStyle w:val="TDC2"/>
            <w:tabs>
              <w:tab w:val="right" w:leader="dot" w:pos="8969"/>
            </w:tabs>
            <w:rPr>
              <w:noProof/>
              <w:lang w:eastAsia="es-GT"/>
            </w:rPr>
          </w:pPr>
          <w:hyperlink w:anchor="_Toc60223901" w:history="1">
            <w:r w:rsidRPr="0032626C">
              <w:rPr>
                <w:rStyle w:val="Hipervnculo"/>
                <w:rFonts w:ascii="Times New Roman" w:hAnsi="Times New Roman" w:cs="Times New Roman"/>
                <w:noProof/>
              </w:rPr>
              <w:t>Organismo Judicial</w:t>
            </w:r>
            <w:r w:rsidRPr="0032626C">
              <w:rPr>
                <w:noProof/>
                <w:webHidden/>
              </w:rPr>
              <w:tab/>
            </w:r>
            <w:r w:rsidRPr="0032626C">
              <w:rPr>
                <w:noProof/>
                <w:webHidden/>
              </w:rPr>
              <w:fldChar w:fldCharType="begin"/>
            </w:r>
            <w:r w:rsidRPr="0032626C">
              <w:rPr>
                <w:noProof/>
                <w:webHidden/>
              </w:rPr>
              <w:instrText xml:space="preserve"> PAGEREF _Toc60223901 \h </w:instrText>
            </w:r>
            <w:r w:rsidRPr="0032626C">
              <w:rPr>
                <w:noProof/>
                <w:webHidden/>
              </w:rPr>
            </w:r>
            <w:r w:rsidRPr="0032626C">
              <w:rPr>
                <w:noProof/>
                <w:webHidden/>
              </w:rPr>
              <w:fldChar w:fldCharType="separate"/>
            </w:r>
            <w:r w:rsidRPr="0032626C">
              <w:rPr>
                <w:noProof/>
                <w:webHidden/>
              </w:rPr>
              <w:t>17</w:t>
            </w:r>
            <w:r w:rsidRPr="0032626C">
              <w:rPr>
                <w:noProof/>
                <w:webHidden/>
              </w:rPr>
              <w:fldChar w:fldCharType="end"/>
            </w:r>
          </w:hyperlink>
        </w:p>
        <w:p w:rsidR="0032626C" w:rsidRDefault="0032626C">
          <w:pPr>
            <w:pStyle w:val="TDC2"/>
            <w:tabs>
              <w:tab w:val="right" w:leader="dot" w:pos="8969"/>
            </w:tabs>
            <w:rPr>
              <w:noProof/>
              <w:lang w:eastAsia="es-GT"/>
            </w:rPr>
          </w:pPr>
          <w:hyperlink w:anchor="_Toc60223902" w:history="1">
            <w:r w:rsidRPr="0032626C">
              <w:rPr>
                <w:rStyle w:val="Hipervnculo"/>
                <w:rFonts w:ascii="Times New Roman" w:hAnsi="Times New Roman" w:cs="Times New Roman"/>
                <w:noProof/>
              </w:rPr>
              <w:t>Organismo Legislativo</w:t>
            </w:r>
            <w:r w:rsidRPr="0032626C">
              <w:rPr>
                <w:noProof/>
                <w:webHidden/>
              </w:rPr>
              <w:tab/>
            </w:r>
            <w:r w:rsidRPr="0032626C">
              <w:rPr>
                <w:noProof/>
                <w:webHidden/>
              </w:rPr>
              <w:fldChar w:fldCharType="begin"/>
            </w:r>
            <w:r w:rsidRPr="0032626C">
              <w:rPr>
                <w:noProof/>
                <w:webHidden/>
              </w:rPr>
              <w:instrText xml:space="preserve"> PAGEREF _Toc60223902 \h </w:instrText>
            </w:r>
            <w:r w:rsidRPr="0032626C">
              <w:rPr>
                <w:noProof/>
                <w:webHidden/>
              </w:rPr>
            </w:r>
            <w:r w:rsidRPr="0032626C">
              <w:rPr>
                <w:noProof/>
                <w:webHidden/>
              </w:rPr>
              <w:fldChar w:fldCharType="separate"/>
            </w:r>
            <w:r w:rsidRPr="0032626C">
              <w:rPr>
                <w:noProof/>
                <w:webHidden/>
              </w:rPr>
              <w:t>17</w:t>
            </w:r>
            <w:r w:rsidRPr="0032626C">
              <w:rPr>
                <w:noProof/>
                <w:webHidden/>
              </w:rPr>
              <w:fldChar w:fldCharType="end"/>
            </w:r>
          </w:hyperlink>
        </w:p>
        <w:p w:rsidR="0032626C" w:rsidRDefault="0032626C">
          <w:pPr>
            <w:pStyle w:val="TDC1"/>
            <w:tabs>
              <w:tab w:val="right" w:leader="dot" w:pos="8969"/>
            </w:tabs>
            <w:rPr>
              <w:noProof/>
              <w:lang w:eastAsia="es-GT"/>
            </w:rPr>
          </w:pPr>
          <w:hyperlink w:anchor="_Toc60223903" w:history="1">
            <w:r w:rsidRPr="00036FC5">
              <w:rPr>
                <w:rStyle w:val="Hipervnculo"/>
                <w:noProof/>
              </w:rPr>
              <w:t>Conclusiones</w:t>
            </w:r>
            <w:r>
              <w:rPr>
                <w:noProof/>
                <w:webHidden/>
              </w:rPr>
              <w:tab/>
            </w:r>
            <w:r>
              <w:rPr>
                <w:noProof/>
                <w:webHidden/>
              </w:rPr>
              <w:fldChar w:fldCharType="begin"/>
            </w:r>
            <w:r>
              <w:rPr>
                <w:noProof/>
                <w:webHidden/>
              </w:rPr>
              <w:instrText xml:space="preserve"> PAGEREF _Toc60223903 \h </w:instrText>
            </w:r>
            <w:r>
              <w:rPr>
                <w:noProof/>
                <w:webHidden/>
              </w:rPr>
            </w:r>
            <w:r>
              <w:rPr>
                <w:noProof/>
                <w:webHidden/>
              </w:rPr>
              <w:fldChar w:fldCharType="separate"/>
            </w:r>
            <w:r>
              <w:rPr>
                <w:noProof/>
                <w:webHidden/>
              </w:rPr>
              <w:t>19</w:t>
            </w:r>
            <w:r>
              <w:rPr>
                <w:noProof/>
                <w:webHidden/>
              </w:rPr>
              <w:fldChar w:fldCharType="end"/>
            </w:r>
          </w:hyperlink>
        </w:p>
        <w:p w:rsidR="0032626C" w:rsidRDefault="0032626C">
          <w:pPr>
            <w:pStyle w:val="TDC1"/>
            <w:tabs>
              <w:tab w:val="right" w:leader="dot" w:pos="8969"/>
            </w:tabs>
            <w:rPr>
              <w:noProof/>
              <w:lang w:eastAsia="es-GT"/>
            </w:rPr>
          </w:pPr>
          <w:hyperlink w:anchor="_Toc60223904" w:history="1">
            <w:r w:rsidRPr="00036FC5">
              <w:rPr>
                <w:rStyle w:val="Hipervnculo"/>
                <w:noProof/>
              </w:rPr>
              <w:t>Recomendaciones</w:t>
            </w:r>
            <w:r>
              <w:rPr>
                <w:noProof/>
                <w:webHidden/>
              </w:rPr>
              <w:tab/>
            </w:r>
            <w:r>
              <w:rPr>
                <w:noProof/>
                <w:webHidden/>
              </w:rPr>
              <w:fldChar w:fldCharType="begin"/>
            </w:r>
            <w:r>
              <w:rPr>
                <w:noProof/>
                <w:webHidden/>
              </w:rPr>
              <w:instrText xml:space="preserve"> PAGEREF _Toc60223904 \h </w:instrText>
            </w:r>
            <w:r>
              <w:rPr>
                <w:noProof/>
                <w:webHidden/>
              </w:rPr>
            </w:r>
            <w:r>
              <w:rPr>
                <w:noProof/>
                <w:webHidden/>
              </w:rPr>
              <w:fldChar w:fldCharType="separate"/>
            </w:r>
            <w:r>
              <w:rPr>
                <w:noProof/>
                <w:webHidden/>
              </w:rPr>
              <w:t>21</w:t>
            </w:r>
            <w:r>
              <w:rPr>
                <w:noProof/>
                <w:webHidden/>
              </w:rPr>
              <w:fldChar w:fldCharType="end"/>
            </w:r>
          </w:hyperlink>
        </w:p>
        <w:p w:rsidR="00D84FA3" w:rsidRDefault="00D84FA3">
          <w:r>
            <w:rPr>
              <w:b/>
              <w:bCs/>
              <w:lang w:val="es-ES"/>
            </w:rPr>
            <w:fldChar w:fldCharType="end"/>
          </w:r>
        </w:p>
      </w:sdtContent>
    </w:sdt>
    <w:p w:rsidR="009112FA" w:rsidRDefault="009112FA">
      <w:r>
        <w:br w:type="page"/>
      </w:r>
      <w:bookmarkStart w:id="41" w:name="_GoBack"/>
      <w:bookmarkEnd w:id="41"/>
    </w:p>
    <w:p w:rsidR="00700553" w:rsidRPr="001A67EC" w:rsidRDefault="00700553" w:rsidP="00700553">
      <w:pPr>
        <w:pStyle w:val="Ttulo1"/>
      </w:pPr>
      <w:bookmarkStart w:id="42" w:name="_Toc60223884"/>
      <w:r w:rsidRPr="001A67EC">
        <w:lastRenderedPageBreak/>
        <w:t>INTRODUCCIÓN</w:t>
      </w:r>
      <w:bookmarkEnd w:id="42"/>
    </w:p>
    <w:p w:rsidR="00700553" w:rsidRDefault="00700553" w:rsidP="00700553">
      <w:pPr>
        <w:spacing w:after="0" w:line="240" w:lineRule="auto"/>
      </w:pPr>
    </w:p>
    <w:p w:rsidR="00700553" w:rsidRPr="00635DD6" w:rsidRDefault="00700553" w:rsidP="00700553">
      <w:pPr>
        <w:tabs>
          <w:tab w:val="left" w:pos="9072"/>
        </w:tabs>
        <w:ind w:right="-93"/>
        <w:jc w:val="both"/>
        <w:rPr>
          <w:rFonts w:ascii="Times New Roman" w:hAnsi="Times New Roman" w:cs="Times New Roman"/>
          <w:sz w:val="23"/>
          <w:szCs w:val="23"/>
          <w:shd w:val="clear" w:color="auto" w:fill="FFFFFF"/>
        </w:rPr>
      </w:pPr>
      <w:r w:rsidRPr="00635DD6">
        <w:rPr>
          <w:rFonts w:ascii="Times New Roman" w:hAnsi="Times New Roman" w:cs="Times New Roman"/>
          <w:sz w:val="23"/>
          <w:szCs w:val="23"/>
          <w:shd w:val="clear" w:color="auto" w:fill="FFFFFF"/>
        </w:rPr>
        <w:t xml:space="preserve">La </w:t>
      </w:r>
      <w:r w:rsidRPr="00635DD6">
        <w:rPr>
          <w:rFonts w:ascii="Times New Roman" w:hAnsi="Times New Roman" w:cs="Times New Roman"/>
          <w:b/>
          <w:sz w:val="23"/>
          <w:szCs w:val="23"/>
          <w:shd w:val="clear" w:color="auto" w:fill="FFFFFF"/>
        </w:rPr>
        <w:t>Constitución Política de la República de Guatemala</w:t>
      </w:r>
      <w:r w:rsidRPr="00635DD6">
        <w:rPr>
          <w:rFonts w:ascii="Times New Roman" w:hAnsi="Times New Roman" w:cs="Times New Roman"/>
          <w:sz w:val="23"/>
          <w:szCs w:val="23"/>
          <w:shd w:val="clear" w:color="auto" w:fill="FFFFFF"/>
        </w:rPr>
        <w:t xml:space="preserve"> reconoce el derecho de acceso a la información, como manifestación principal de un principio de publicidad de la actuación administrativa y el derecho de petición. Para desarrollar estos derechos y obligaciones se aprueba en el año 2008 la Ley de Acceso a la Información Pública -LAIP-.</w:t>
      </w:r>
    </w:p>
    <w:p w:rsidR="00700553" w:rsidRPr="00635DD6" w:rsidRDefault="00700553" w:rsidP="00700553">
      <w:pPr>
        <w:tabs>
          <w:tab w:val="left" w:pos="9072"/>
        </w:tabs>
        <w:ind w:right="-93"/>
        <w:jc w:val="both"/>
        <w:rPr>
          <w:rFonts w:ascii="Times New Roman" w:hAnsi="Times New Roman" w:cs="Times New Roman"/>
          <w:sz w:val="23"/>
          <w:szCs w:val="23"/>
          <w:shd w:val="clear" w:color="auto" w:fill="FFFFFF"/>
        </w:rPr>
      </w:pPr>
      <w:r w:rsidRPr="00635DD6">
        <w:rPr>
          <w:rFonts w:ascii="Times New Roman" w:hAnsi="Times New Roman" w:cs="Times New Roman"/>
          <w:sz w:val="23"/>
          <w:szCs w:val="23"/>
          <w:shd w:val="clear" w:color="auto" w:fill="FFFFFF"/>
        </w:rPr>
        <w:t xml:space="preserve">La </w:t>
      </w:r>
      <w:r w:rsidRPr="00635DD6">
        <w:rPr>
          <w:rFonts w:ascii="Times New Roman" w:hAnsi="Times New Roman" w:cs="Times New Roman"/>
          <w:b/>
          <w:sz w:val="23"/>
          <w:szCs w:val="23"/>
          <w:shd w:val="clear" w:color="auto" w:fill="FFFFFF"/>
        </w:rPr>
        <w:t>Ley de Acceso a la Información Pública</w:t>
      </w:r>
      <w:r w:rsidRPr="00635DD6">
        <w:rPr>
          <w:rFonts w:ascii="Times New Roman" w:hAnsi="Times New Roman" w:cs="Times New Roman"/>
          <w:sz w:val="23"/>
          <w:szCs w:val="23"/>
          <w:shd w:val="clear" w:color="auto" w:fill="FFFFFF"/>
        </w:rPr>
        <w:t xml:space="preserve"> –LAIP-, Decreto 57-2008 del Congreso de la República, atribuye al Procurador de los Derechos Humanos la calidad de autoridad reguladora en esta materia. Además, por su naturaleza de derecho fundamental este tema corresponde al mandato constitucionalmente establecido al Procurador, en sintonía con la facultad de supervisar la administración pública. Con el objeto de apoyar en el cumplimiento de las obligaciones establecidas en el Título Tercero, Capítulo Primero de la LAIP, el Magistrado de Conciencia creó la Secretaría de Acceso a la Información Pública –SECAI-.</w:t>
      </w:r>
    </w:p>
    <w:p w:rsidR="00700553" w:rsidRPr="00635DD6" w:rsidRDefault="00700553" w:rsidP="00700553">
      <w:pPr>
        <w:tabs>
          <w:tab w:val="left" w:pos="9072"/>
        </w:tabs>
        <w:ind w:right="-93"/>
        <w:jc w:val="both"/>
        <w:rPr>
          <w:rFonts w:ascii="Times New Roman" w:hAnsi="Times New Roman" w:cs="Times New Roman"/>
          <w:sz w:val="23"/>
          <w:szCs w:val="23"/>
          <w:shd w:val="clear" w:color="auto" w:fill="FFFFFF"/>
        </w:rPr>
      </w:pPr>
      <w:r w:rsidRPr="00635DD6">
        <w:rPr>
          <w:rFonts w:ascii="Times New Roman" w:hAnsi="Times New Roman" w:cs="Times New Roman"/>
          <w:sz w:val="23"/>
          <w:szCs w:val="23"/>
          <w:shd w:val="clear" w:color="auto" w:fill="FFFFFF"/>
        </w:rPr>
        <w:t xml:space="preserve">El presente informe se refiere al cumplimiento en la verificación de las principales obligaciones establecidas en la Ley de Acceso a la Información Pública en los </w:t>
      </w:r>
      <w:r w:rsidRPr="00635DD6">
        <w:rPr>
          <w:rFonts w:ascii="Times New Roman" w:hAnsi="Times New Roman" w:cs="Times New Roman"/>
          <w:b/>
          <w:sz w:val="23"/>
          <w:szCs w:val="23"/>
          <w:shd w:val="clear" w:color="auto" w:fill="FFFFFF"/>
        </w:rPr>
        <w:t>Organismos del Estado</w:t>
      </w:r>
      <w:r w:rsidRPr="00635DD6">
        <w:rPr>
          <w:rFonts w:ascii="Times New Roman" w:hAnsi="Times New Roman" w:cs="Times New Roman"/>
          <w:sz w:val="23"/>
          <w:szCs w:val="23"/>
          <w:shd w:val="clear" w:color="auto" w:fill="FFFFFF"/>
        </w:rPr>
        <w:t xml:space="preserve">, se realizó una supervisión de los portales electrónicos en el primer cuatrimestre del año 2020 y al Organismo Ejecutivo se le realizó una segunda supervisión en el último cuatrimestre del 2020. En forma previa se realizó informe individual a cada uno de los sujetos obligados, en los que se detallan los hallazgos, incumplimiento y observaciones de cada numeral evaluado, mismos que son publicados en la página web de la Procuraduría de Derechos Humanos, para ser consultado por los usuarios. </w:t>
      </w:r>
    </w:p>
    <w:p w:rsidR="00700553" w:rsidRPr="00635DD6" w:rsidRDefault="00700553" w:rsidP="00700553">
      <w:pPr>
        <w:tabs>
          <w:tab w:val="left" w:pos="9072"/>
        </w:tabs>
        <w:ind w:right="-93"/>
        <w:jc w:val="both"/>
        <w:rPr>
          <w:rFonts w:ascii="Times New Roman" w:hAnsi="Times New Roman" w:cs="Times New Roman"/>
          <w:sz w:val="23"/>
          <w:szCs w:val="23"/>
          <w:shd w:val="clear" w:color="auto" w:fill="FFFFFF"/>
        </w:rPr>
      </w:pPr>
      <w:r w:rsidRPr="00635DD6">
        <w:rPr>
          <w:rFonts w:ascii="Times New Roman" w:hAnsi="Times New Roman" w:cs="Times New Roman"/>
          <w:sz w:val="23"/>
          <w:szCs w:val="23"/>
          <w:shd w:val="clear" w:color="auto" w:fill="FFFFFF"/>
        </w:rPr>
        <w:t>En el informe se presentan los hallazgos derivados de la verificación institucional, los cuáles son remitidos a los sujetos obligados con el objeto que tomen las medidas que consideren pertinentes con el fin de mejorar su nivel de cumplimiento y dar pleno cumplimiento a los principales aspectos que la Ley de Acceso a la Información Pública establece. Se dará seguimiento a las entidades con bajo cumplimiento previo a remitir lo actuado a los órganos competentes, así como la adopción de otras medidas que correspondan.</w:t>
      </w:r>
    </w:p>
    <w:p w:rsidR="00700553" w:rsidRPr="00635DD6" w:rsidRDefault="00700553" w:rsidP="00700553">
      <w:pPr>
        <w:tabs>
          <w:tab w:val="left" w:pos="9072"/>
        </w:tabs>
        <w:ind w:right="-93"/>
        <w:jc w:val="both"/>
        <w:rPr>
          <w:rFonts w:ascii="Times New Roman" w:hAnsi="Times New Roman" w:cs="Times New Roman"/>
          <w:sz w:val="23"/>
          <w:szCs w:val="23"/>
          <w:shd w:val="clear" w:color="auto" w:fill="FFFFFF"/>
        </w:rPr>
      </w:pPr>
      <w:r w:rsidRPr="00635DD6">
        <w:rPr>
          <w:rFonts w:ascii="Times New Roman" w:hAnsi="Times New Roman" w:cs="Times New Roman"/>
          <w:sz w:val="23"/>
          <w:szCs w:val="23"/>
          <w:shd w:val="clear" w:color="auto" w:fill="FFFFFF"/>
        </w:rPr>
        <w:t>La calidad y veracidad de la información que se publica es responsabilidad de las autoridades superiores y de las Unidades de Información Pública de los respectivos sujetos obligados. Es importante que se mantenga una verificación por parte de la sociedad civil, los órganos de fiscalización en general y particularmente por la Contraloría General de Cuentas, pudiendo incluir entre sus auditorías regulares la verificación de la información de oficio de las entidades que fiscaliza y aplicar las sanciones de incumplimiento en la rendición de cuentas que se establecen en la Ley Orgánica de la Contraloría General de Cuentas.</w:t>
      </w:r>
    </w:p>
    <w:p w:rsidR="00700553" w:rsidRPr="00635DD6" w:rsidRDefault="00700553" w:rsidP="00700553">
      <w:pPr>
        <w:tabs>
          <w:tab w:val="left" w:pos="9072"/>
        </w:tabs>
        <w:ind w:right="-93"/>
        <w:jc w:val="both"/>
        <w:rPr>
          <w:i/>
          <w:sz w:val="23"/>
          <w:szCs w:val="23"/>
          <w:shd w:val="clear" w:color="auto" w:fill="FFFFFF"/>
        </w:rPr>
      </w:pPr>
      <w:r w:rsidRPr="00635DD6">
        <w:rPr>
          <w:rFonts w:ascii="Times New Roman" w:hAnsi="Times New Roman" w:cs="Times New Roman"/>
          <w:i/>
          <w:sz w:val="23"/>
          <w:szCs w:val="23"/>
          <w:shd w:val="clear" w:color="auto" w:fill="FFFFFF"/>
        </w:rPr>
        <w:t>Los sujetos obligados establecerán como vía de acceso a la información pública, entre otros, sistemas de información electrónicos. Bajo responsabilidad de la autoridad máxima garantizará que la información publicada sea fidedigna y legítima. La información publicada en los sistemas de información electrónicos deberá coincidir exactamente con los sistemas de administración financiera, contable y de auditoría y esta deberá ser actualizada en los plazos establecidos en esta Ley (Artículo 39 LAIP). Los sujetos obligados deberán actualizar su información en un plazo no mayor de treinta días, después de producirse un cambio (Artículo 7 de la LAIP).</w:t>
      </w:r>
    </w:p>
    <w:p w:rsidR="00700553" w:rsidRDefault="00700553" w:rsidP="00700553">
      <w:pPr>
        <w:rPr>
          <w:rFonts w:eastAsiaTheme="majorEastAsia" w:cstheme="majorBidi"/>
          <w:sz w:val="36"/>
          <w:szCs w:val="36"/>
        </w:rPr>
      </w:pPr>
    </w:p>
    <w:p w:rsidR="00700553" w:rsidRPr="00CE6D7E" w:rsidRDefault="00700553" w:rsidP="00700553">
      <w:pPr>
        <w:pStyle w:val="Ttulo1"/>
      </w:pPr>
      <w:bookmarkStart w:id="43" w:name="_Toc60223885"/>
      <w:r>
        <w:lastRenderedPageBreak/>
        <w:t>MARCO LEGAL</w:t>
      </w:r>
      <w:bookmarkEnd w:id="43"/>
    </w:p>
    <w:p w:rsidR="00700553" w:rsidRDefault="00700553" w:rsidP="00700553">
      <w:pPr>
        <w:spacing w:after="0"/>
        <w:jc w:val="both"/>
        <w:rPr>
          <w:rFonts w:cs="Arial"/>
          <w:lang w:val="es-ES"/>
        </w:rPr>
      </w:pPr>
    </w:p>
    <w:p w:rsidR="00700553" w:rsidRPr="00B271D9" w:rsidRDefault="00700553" w:rsidP="00700553">
      <w:pPr>
        <w:jc w:val="both"/>
        <w:rPr>
          <w:rFonts w:ascii="Times New Roman" w:hAnsi="Times New Roman" w:cs="Times New Roman"/>
          <w:sz w:val="24"/>
          <w:szCs w:val="24"/>
          <w:lang w:val="es-ES"/>
        </w:rPr>
      </w:pPr>
      <w:r w:rsidRPr="00B271D9">
        <w:rPr>
          <w:rFonts w:ascii="Times New Roman" w:hAnsi="Times New Roman" w:cs="Times New Roman"/>
          <w:sz w:val="24"/>
          <w:szCs w:val="24"/>
          <w:lang w:val="es-ES"/>
        </w:rPr>
        <w:t xml:space="preserve">El derecho de acceso a la información pública es reconocido en la mayoría de países tanto en los textos constitucionales como en el derecho ordinario, convenios y tratados internacionales en materia de Derechos Humanos.  En abril del 2009 entró en vigencia en Guatemala el Decreto 57-2008 que contiene la </w:t>
      </w:r>
      <w:r w:rsidRPr="00B271D9">
        <w:rPr>
          <w:rFonts w:ascii="Times New Roman" w:hAnsi="Times New Roman" w:cs="Times New Roman"/>
          <w:b/>
          <w:i/>
          <w:sz w:val="24"/>
          <w:szCs w:val="24"/>
          <w:lang w:val="es-ES"/>
        </w:rPr>
        <w:t>Ley de Acceso a la Información Pública</w:t>
      </w:r>
      <w:r w:rsidRPr="00B271D9">
        <w:rPr>
          <w:rFonts w:ascii="Times New Roman" w:hAnsi="Times New Roman" w:cs="Times New Roman"/>
          <w:sz w:val="24"/>
          <w:szCs w:val="24"/>
          <w:lang w:val="es-ES"/>
        </w:rPr>
        <w:t xml:space="preserve"> –LAIP- en la cual se encomienda al </w:t>
      </w:r>
      <w:r w:rsidRPr="00B271D9">
        <w:rPr>
          <w:rFonts w:ascii="Times New Roman" w:hAnsi="Times New Roman" w:cs="Times New Roman"/>
          <w:b/>
          <w:sz w:val="24"/>
          <w:szCs w:val="24"/>
          <w:lang w:val="es-ES"/>
        </w:rPr>
        <w:t>Procurador de los Derechos Humanos</w:t>
      </w:r>
      <w:r w:rsidRPr="00B271D9">
        <w:rPr>
          <w:rFonts w:ascii="Times New Roman" w:hAnsi="Times New Roman" w:cs="Times New Roman"/>
          <w:sz w:val="24"/>
          <w:szCs w:val="24"/>
          <w:lang w:val="es-ES"/>
        </w:rPr>
        <w:t xml:space="preserve"> ser la autoridad reguladora de este derecho fundamental, en concordancia con su mandato de promover el buen funcionamiento y la agilización de la gestión administrativa gubernamental en materia de Derechos Humanos.</w:t>
      </w:r>
    </w:p>
    <w:p w:rsidR="00700553" w:rsidRPr="00B271D9" w:rsidRDefault="00700553" w:rsidP="00700553">
      <w:pPr>
        <w:jc w:val="both"/>
        <w:rPr>
          <w:rFonts w:ascii="Times New Roman" w:hAnsi="Times New Roman" w:cs="Times New Roman"/>
          <w:sz w:val="24"/>
          <w:szCs w:val="24"/>
          <w:lang w:val="es-ES"/>
        </w:rPr>
      </w:pPr>
      <w:r w:rsidRPr="00B271D9">
        <w:rPr>
          <w:rFonts w:ascii="Times New Roman" w:hAnsi="Times New Roman" w:cs="Times New Roman"/>
          <w:sz w:val="24"/>
          <w:szCs w:val="24"/>
          <w:lang w:val="es-ES"/>
        </w:rPr>
        <w:t xml:space="preserve">Con el objeto de apoyar en el cumplimiento de las obligaciones establecidas en el Título Tercero, Capítulo Primero de </w:t>
      </w:r>
      <w:r w:rsidRPr="00B271D9">
        <w:rPr>
          <w:rFonts w:ascii="Times New Roman" w:hAnsi="Times New Roman" w:cs="Times New Roman"/>
          <w:b/>
          <w:sz w:val="24"/>
          <w:szCs w:val="24"/>
          <w:lang w:val="es-ES"/>
        </w:rPr>
        <w:t>Ley de Acceso a la Información Pública</w:t>
      </w:r>
      <w:r w:rsidRPr="00B271D9">
        <w:rPr>
          <w:rFonts w:ascii="Times New Roman" w:hAnsi="Times New Roman" w:cs="Times New Roman"/>
          <w:sz w:val="24"/>
          <w:szCs w:val="24"/>
          <w:lang w:val="es-ES"/>
        </w:rPr>
        <w:t xml:space="preserve">, el Magistrado de Conciencia creó la </w:t>
      </w:r>
      <w:r w:rsidRPr="00B271D9">
        <w:rPr>
          <w:rFonts w:ascii="Times New Roman" w:hAnsi="Times New Roman" w:cs="Times New Roman"/>
          <w:b/>
          <w:sz w:val="24"/>
          <w:szCs w:val="24"/>
          <w:lang w:val="es-ES"/>
        </w:rPr>
        <w:t>Secretaría de Acceso a la Información Pública</w:t>
      </w:r>
      <w:r w:rsidRPr="00B271D9">
        <w:rPr>
          <w:rFonts w:ascii="Times New Roman" w:hAnsi="Times New Roman" w:cs="Times New Roman"/>
          <w:sz w:val="24"/>
          <w:szCs w:val="24"/>
          <w:lang w:val="es-ES"/>
        </w:rPr>
        <w:t xml:space="preserve"> –SECAI</w:t>
      </w:r>
      <w:r w:rsidRPr="00A252D9">
        <w:rPr>
          <w:rFonts w:ascii="Times New Roman" w:hAnsi="Times New Roman" w:cs="Times New Roman"/>
          <w:b/>
          <w:sz w:val="24"/>
          <w:szCs w:val="24"/>
          <w:lang w:val="es-ES"/>
        </w:rPr>
        <w:t>-</w:t>
      </w:r>
      <w:r w:rsidRPr="00B271D9">
        <w:rPr>
          <w:rFonts w:ascii="Times New Roman" w:hAnsi="Times New Roman" w:cs="Times New Roman"/>
          <w:sz w:val="24"/>
          <w:szCs w:val="24"/>
          <w:lang w:val="es-ES"/>
        </w:rPr>
        <w:t xml:space="preserve"> en el año 2012, quien a su vez coordina con las diversas unidades ejecutoras a cargo del Procurador de Derechos Humanos para dar efectivo cumplimiento de este mandato específico. De esta cuenta, se desarrollan actividades de fiscalización, asistencia técnica, promoción y acompañamiento técnico y legal tanto a sujetos activos como a sujetos obligados a nivel nacional.</w:t>
      </w:r>
    </w:p>
    <w:p w:rsidR="00700553" w:rsidRDefault="00700553" w:rsidP="00700553">
      <w:pPr>
        <w:jc w:val="both"/>
        <w:rPr>
          <w:rFonts w:ascii="Times New Roman" w:hAnsi="Times New Roman" w:cs="Times New Roman"/>
          <w:sz w:val="24"/>
          <w:szCs w:val="24"/>
        </w:rPr>
      </w:pPr>
      <w:r w:rsidRPr="00B271D9">
        <w:rPr>
          <w:rFonts w:ascii="Times New Roman" w:hAnsi="Times New Roman" w:cs="Times New Roman"/>
          <w:sz w:val="24"/>
          <w:szCs w:val="24"/>
        </w:rPr>
        <w:t xml:space="preserve">Los sujetos obligados, que en esencia son todas las instituciones y organizaciones que administren fondos públicos o ejerzan función pública, deben dar trámite y resolver la totalidad de las solicitudes de información que reciban en forma verbal, escrita o electrónica atendiendo los plazos establecidos por la LAIP; publicar información de oficio actualizada y completa en sus respectivos portales electrónicos; y dar trámite a las impugnaciones planteadas a través de recursos de revisión.  Estas obligaciones en su mayoría están a cargo de las </w:t>
      </w:r>
      <w:r w:rsidRPr="00B271D9">
        <w:rPr>
          <w:rFonts w:ascii="Times New Roman" w:hAnsi="Times New Roman" w:cs="Times New Roman"/>
          <w:b/>
          <w:sz w:val="24"/>
          <w:szCs w:val="24"/>
        </w:rPr>
        <w:t>Unidades de Información Pública</w:t>
      </w:r>
      <w:r w:rsidRPr="00B271D9">
        <w:rPr>
          <w:rFonts w:ascii="Times New Roman" w:hAnsi="Times New Roman" w:cs="Times New Roman"/>
          <w:sz w:val="24"/>
          <w:szCs w:val="24"/>
        </w:rPr>
        <w:t xml:space="preserve">, las cuáles deben estar debidamente identificada y ser atendidas con personal asignado y capacitado para el efecto. De igual forma deben cumplir con la entrega de informes a la autoridad reguladora y llevar archivo de todas sus gestiones, en particular de las resoluciones emitidas conforme a la normativa indicada.  </w:t>
      </w:r>
    </w:p>
    <w:p w:rsidR="00700553" w:rsidRPr="00B271D9" w:rsidRDefault="00700553" w:rsidP="00700553">
      <w:pPr>
        <w:jc w:val="both"/>
        <w:rPr>
          <w:rFonts w:ascii="Times New Roman" w:hAnsi="Times New Roman" w:cs="Times New Roman"/>
          <w:sz w:val="24"/>
          <w:szCs w:val="24"/>
        </w:rPr>
      </w:pPr>
      <w:r w:rsidRPr="00B271D9">
        <w:rPr>
          <w:rFonts w:ascii="Times New Roman" w:hAnsi="Times New Roman" w:cs="Times New Roman"/>
          <w:sz w:val="24"/>
          <w:szCs w:val="24"/>
        </w:rPr>
        <w:t xml:space="preserve">Todas estas obligaciones de las Unidades de Información Pública y sus autoridades están contenidas en la LAIP y se desarrollan con base a los principios rectores de la normativa siendo estos: </w:t>
      </w:r>
      <w:r w:rsidRPr="00B271D9">
        <w:rPr>
          <w:rFonts w:ascii="Times New Roman" w:hAnsi="Times New Roman" w:cs="Times New Roman"/>
          <w:b/>
          <w:sz w:val="24"/>
          <w:szCs w:val="24"/>
        </w:rPr>
        <w:t>Máxima publicidad, transparencia, gratuidad y sencillez y celeridad de procedimiento.</w:t>
      </w:r>
    </w:p>
    <w:p w:rsidR="00700553" w:rsidRPr="00A252D9" w:rsidRDefault="00700553" w:rsidP="00700553">
      <w:pPr>
        <w:ind w:left="-142" w:firstLine="142"/>
        <w:jc w:val="both"/>
        <w:rPr>
          <w:rFonts w:ascii="Times New Roman" w:eastAsiaTheme="minorHAnsi" w:hAnsi="Times New Roman" w:cs="Times New Roman"/>
          <w:sz w:val="24"/>
          <w:szCs w:val="24"/>
        </w:rPr>
      </w:pPr>
      <w:r w:rsidRPr="00A252D9">
        <w:rPr>
          <w:rFonts w:ascii="Times New Roman" w:eastAsiaTheme="minorHAnsi" w:hAnsi="Times New Roman" w:cs="Times New Roman"/>
          <w:sz w:val="24"/>
          <w:szCs w:val="24"/>
        </w:rPr>
        <w:t xml:space="preserve">La Ley de Acceso a la Información Pública tiene por objeto: </w:t>
      </w:r>
    </w:p>
    <w:p w:rsidR="00700553" w:rsidRPr="00A252D9" w:rsidRDefault="00700553" w:rsidP="00700553">
      <w:pPr>
        <w:pStyle w:val="Prrafodelista"/>
        <w:numPr>
          <w:ilvl w:val="0"/>
          <w:numId w:val="18"/>
        </w:numPr>
        <w:spacing w:before="240" w:after="240" w:line="240" w:lineRule="auto"/>
        <w:jc w:val="both"/>
        <w:rPr>
          <w:rFonts w:ascii="Times New Roman" w:eastAsiaTheme="minorHAnsi" w:hAnsi="Times New Roman" w:cs="Times New Roman"/>
          <w:sz w:val="24"/>
          <w:szCs w:val="24"/>
        </w:rPr>
      </w:pPr>
      <w:r w:rsidRPr="00A252D9">
        <w:rPr>
          <w:rFonts w:ascii="Times New Roman" w:eastAsiaTheme="minorHAnsi" w:hAnsi="Times New Roman" w:cs="Times New Roman"/>
          <w:sz w:val="24"/>
          <w:szCs w:val="24"/>
        </w:rPr>
        <w:t>Garantizar a toda persona interesada, sin discriminación alguna, el derecho a solicitar y a tener acceso a la información pública en posesión de las autoridades y sujetos obligados por la presente ley;</w:t>
      </w:r>
    </w:p>
    <w:p w:rsidR="00700553" w:rsidRPr="00A252D9" w:rsidRDefault="00700553" w:rsidP="00700553">
      <w:pPr>
        <w:pStyle w:val="Prrafodelista"/>
        <w:numPr>
          <w:ilvl w:val="0"/>
          <w:numId w:val="18"/>
        </w:numPr>
        <w:spacing w:before="240" w:after="240" w:line="240" w:lineRule="auto"/>
        <w:jc w:val="both"/>
        <w:rPr>
          <w:rFonts w:ascii="Times New Roman" w:eastAsiaTheme="minorHAnsi" w:hAnsi="Times New Roman" w:cs="Times New Roman"/>
          <w:sz w:val="24"/>
          <w:szCs w:val="24"/>
        </w:rPr>
      </w:pPr>
      <w:r w:rsidRPr="00A252D9">
        <w:rPr>
          <w:rFonts w:ascii="Times New Roman" w:eastAsiaTheme="minorHAnsi" w:hAnsi="Times New Roman" w:cs="Times New Roman"/>
          <w:sz w:val="24"/>
          <w:szCs w:val="24"/>
        </w:rPr>
        <w:t>Garantizar a toda persona individual el derecho a conocer y proteger los datos personales de lo que de ella conste en archivos estatales, así como de las actualizaciones de los mismos;</w:t>
      </w:r>
    </w:p>
    <w:p w:rsidR="00700553" w:rsidRPr="00A252D9" w:rsidRDefault="00700553" w:rsidP="00700553">
      <w:pPr>
        <w:pStyle w:val="Prrafodelista"/>
        <w:numPr>
          <w:ilvl w:val="0"/>
          <w:numId w:val="18"/>
        </w:numPr>
        <w:spacing w:before="240" w:after="240" w:line="240" w:lineRule="auto"/>
        <w:jc w:val="both"/>
        <w:rPr>
          <w:rFonts w:ascii="Times New Roman" w:eastAsiaTheme="minorHAnsi" w:hAnsi="Times New Roman" w:cs="Times New Roman"/>
          <w:sz w:val="24"/>
          <w:szCs w:val="24"/>
        </w:rPr>
      </w:pPr>
      <w:r w:rsidRPr="00A252D9">
        <w:rPr>
          <w:rFonts w:ascii="Times New Roman" w:eastAsiaTheme="minorHAnsi" w:hAnsi="Times New Roman" w:cs="Times New Roman"/>
          <w:sz w:val="24"/>
          <w:szCs w:val="24"/>
        </w:rPr>
        <w:t>Garantizar la transparencia de la administración pública y de los sujetos obligados y el derecho de toda persona a tener acceso libre a la información pública;</w:t>
      </w:r>
    </w:p>
    <w:p w:rsidR="00700553" w:rsidRPr="00A252D9" w:rsidRDefault="00700553" w:rsidP="00700553">
      <w:pPr>
        <w:pStyle w:val="Prrafodelista"/>
        <w:numPr>
          <w:ilvl w:val="0"/>
          <w:numId w:val="18"/>
        </w:numPr>
        <w:spacing w:before="240" w:after="240" w:line="240" w:lineRule="auto"/>
        <w:jc w:val="both"/>
        <w:rPr>
          <w:rFonts w:ascii="Times New Roman" w:eastAsiaTheme="minorHAnsi" w:hAnsi="Times New Roman" w:cs="Times New Roman"/>
          <w:sz w:val="24"/>
          <w:szCs w:val="24"/>
        </w:rPr>
      </w:pPr>
      <w:r w:rsidRPr="00A252D9">
        <w:rPr>
          <w:rFonts w:ascii="Times New Roman" w:eastAsiaTheme="minorHAnsi" w:hAnsi="Times New Roman" w:cs="Times New Roman"/>
          <w:sz w:val="24"/>
          <w:szCs w:val="24"/>
        </w:rPr>
        <w:lastRenderedPageBreak/>
        <w:t>Establecer como obligatorio el principio de máxima publicidad y transparencia en la administración pública y para los sujetos obligados en la presente ley;</w:t>
      </w:r>
    </w:p>
    <w:p w:rsidR="00700553" w:rsidRPr="00A252D9" w:rsidRDefault="00700553" w:rsidP="00700553">
      <w:pPr>
        <w:pStyle w:val="Prrafodelista"/>
        <w:numPr>
          <w:ilvl w:val="0"/>
          <w:numId w:val="18"/>
        </w:numPr>
        <w:spacing w:before="240" w:after="240" w:line="240" w:lineRule="auto"/>
        <w:jc w:val="both"/>
        <w:rPr>
          <w:rFonts w:ascii="Times New Roman" w:eastAsiaTheme="minorHAnsi" w:hAnsi="Times New Roman" w:cs="Times New Roman"/>
          <w:sz w:val="24"/>
          <w:szCs w:val="24"/>
        </w:rPr>
      </w:pPr>
      <w:r w:rsidRPr="00A252D9">
        <w:rPr>
          <w:rFonts w:ascii="Times New Roman" w:eastAsiaTheme="minorHAnsi" w:hAnsi="Times New Roman" w:cs="Times New Roman"/>
          <w:sz w:val="24"/>
          <w:szCs w:val="24"/>
        </w:rPr>
        <w:t>Establecer, a manera de excepción y de manera limitativa, los supuestos en que se restrinja el acceso a la información pública;</w:t>
      </w:r>
    </w:p>
    <w:p w:rsidR="00700553" w:rsidRPr="00A252D9" w:rsidRDefault="00700553" w:rsidP="00700553">
      <w:pPr>
        <w:pStyle w:val="Prrafodelista"/>
        <w:numPr>
          <w:ilvl w:val="0"/>
          <w:numId w:val="18"/>
        </w:numPr>
        <w:spacing w:before="240" w:after="240" w:line="240" w:lineRule="auto"/>
        <w:jc w:val="both"/>
        <w:rPr>
          <w:rFonts w:ascii="Times New Roman" w:eastAsiaTheme="minorHAnsi" w:hAnsi="Times New Roman" w:cs="Times New Roman"/>
          <w:sz w:val="24"/>
          <w:szCs w:val="24"/>
        </w:rPr>
      </w:pPr>
      <w:r w:rsidRPr="00A252D9">
        <w:rPr>
          <w:rFonts w:ascii="Times New Roman" w:eastAsiaTheme="minorHAnsi" w:hAnsi="Times New Roman" w:cs="Times New Roman"/>
          <w:sz w:val="24"/>
          <w:szCs w:val="24"/>
        </w:rPr>
        <w:t>Favorecer por el Estado la rendición de cuentas a los gobernados, de manera que puedan auditar el desempeño de la administración pública;</w:t>
      </w:r>
    </w:p>
    <w:p w:rsidR="00700553" w:rsidRPr="00A252D9" w:rsidRDefault="00700553" w:rsidP="00700553">
      <w:pPr>
        <w:pStyle w:val="Prrafodelista"/>
        <w:numPr>
          <w:ilvl w:val="0"/>
          <w:numId w:val="18"/>
        </w:numPr>
        <w:spacing w:before="240" w:after="240" w:line="240" w:lineRule="auto"/>
        <w:jc w:val="both"/>
        <w:rPr>
          <w:rFonts w:ascii="Times New Roman" w:eastAsiaTheme="minorHAnsi" w:hAnsi="Times New Roman" w:cs="Times New Roman"/>
          <w:sz w:val="24"/>
          <w:szCs w:val="24"/>
        </w:rPr>
      </w:pPr>
      <w:r w:rsidRPr="00A252D9">
        <w:rPr>
          <w:rFonts w:ascii="Times New Roman" w:eastAsiaTheme="minorHAnsi" w:hAnsi="Times New Roman" w:cs="Times New Roman"/>
          <w:sz w:val="24"/>
          <w:szCs w:val="24"/>
        </w:rPr>
        <w:t>Garantizar que toda persona tenga acceso a los actos de la administración pública.</w:t>
      </w:r>
    </w:p>
    <w:p w:rsidR="00700553" w:rsidRPr="00A252D9" w:rsidRDefault="00700553" w:rsidP="00700553">
      <w:pPr>
        <w:jc w:val="both"/>
        <w:rPr>
          <w:rFonts w:ascii="Times New Roman" w:hAnsi="Times New Roman" w:cs="Times New Roman"/>
          <w:sz w:val="24"/>
          <w:szCs w:val="24"/>
        </w:rPr>
      </w:pPr>
      <w:r w:rsidRPr="00A252D9">
        <w:rPr>
          <w:rFonts w:ascii="Times New Roman" w:hAnsi="Times New Roman" w:cs="Times New Roman"/>
          <w:sz w:val="24"/>
          <w:szCs w:val="24"/>
        </w:rPr>
        <w:t xml:space="preserve">Los </w:t>
      </w:r>
      <w:r w:rsidRPr="00A252D9">
        <w:rPr>
          <w:rFonts w:ascii="Times New Roman" w:hAnsi="Times New Roman" w:cs="Times New Roman"/>
          <w:b/>
          <w:sz w:val="24"/>
          <w:szCs w:val="24"/>
        </w:rPr>
        <w:t>sujetos obligados</w:t>
      </w:r>
      <w:r w:rsidRPr="00A252D9">
        <w:rPr>
          <w:rFonts w:ascii="Times New Roman" w:hAnsi="Times New Roman" w:cs="Times New Roman"/>
          <w:sz w:val="24"/>
          <w:szCs w:val="24"/>
        </w:rPr>
        <w:t xml:space="preserve"> deben </w:t>
      </w:r>
      <w:r>
        <w:rPr>
          <w:rFonts w:ascii="Times New Roman" w:hAnsi="Times New Roman" w:cs="Times New Roman"/>
          <w:sz w:val="24"/>
          <w:szCs w:val="24"/>
        </w:rPr>
        <w:t>poner a disposición de los usuarios</w:t>
      </w:r>
      <w:r w:rsidRPr="00A252D9">
        <w:rPr>
          <w:rFonts w:ascii="Times New Roman" w:hAnsi="Times New Roman" w:cs="Times New Roman"/>
          <w:sz w:val="24"/>
          <w:szCs w:val="24"/>
        </w:rPr>
        <w:t xml:space="preserve"> la información pública, en forma proactiva </w:t>
      </w:r>
      <w:r>
        <w:rPr>
          <w:rFonts w:ascii="Times New Roman" w:hAnsi="Times New Roman" w:cs="Times New Roman"/>
          <w:sz w:val="24"/>
          <w:szCs w:val="24"/>
        </w:rPr>
        <w:t xml:space="preserve">(portales electrónicos) </w:t>
      </w:r>
      <w:r w:rsidRPr="00A252D9">
        <w:rPr>
          <w:rFonts w:ascii="Times New Roman" w:hAnsi="Times New Roman" w:cs="Times New Roman"/>
          <w:sz w:val="24"/>
          <w:szCs w:val="24"/>
        </w:rPr>
        <w:t xml:space="preserve">o requerida a través de solicitudes </w:t>
      </w:r>
      <w:r>
        <w:rPr>
          <w:rFonts w:ascii="Times New Roman" w:hAnsi="Times New Roman" w:cs="Times New Roman"/>
          <w:sz w:val="24"/>
          <w:szCs w:val="24"/>
        </w:rPr>
        <w:t xml:space="preserve">de información </w:t>
      </w:r>
      <w:r w:rsidRPr="00A252D9">
        <w:rPr>
          <w:rFonts w:ascii="Times New Roman" w:hAnsi="Times New Roman" w:cs="Times New Roman"/>
          <w:sz w:val="24"/>
          <w:szCs w:val="24"/>
        </w:rPr>
        <w:t xml:space="preserve">emitidas por los denominados sujetos activos. Para la elaboración del presente informe se seleccionaron tres de los sujetos obligados detallados </w:t>
      </w:r>
      <w:r>
        <w:rPr>
          <w:rFonts w:ascii="Times New Roman" w:hAnsi="Times New Roman" w:cs="Times New Roman"/>
          <w:sz w:val="24"/>
          <w:szCs w:val="24"/>
        </w:rPr>
        <w:t xml:space="preserve">en </w:t>
      </w:r>
      <w:r w:rsidRPr="00A252D9">
        <w:rPr>
          <w:rFonts w:ascii="Times New Roman" w:hAnsi="Times New Roman" w:cs="Times New Roman"/>
          <w:sz w:val="24"/>
          <w:szCs w:val="24"/>
        </w:rPr>
        <w:t xml:space="preserve">el artículo 6 de la LAIP siendo estos: </w:t>
      </w:r>
    </w:p>
    <w:p w:rsidR="00700553" w:rsidRPr="00A252D9" w:rsidRDefault="00700553" w:rsidP="00700553">
      <w:pPr>
        <w:pStyle w:val="Prrafodelista"/>
        <w:numPr>
          <w:ilvl w:val="0"/>
          <w:numId w:val="19"/>
        </w:numPr>
        <w:spacing w:before="240" w:after="240" w:line="240" w:lineRule="auto"/>
        <w:ind w:left="360"/>
        <w:jc w:val="both"/>
        <w:rPr>
          <w:rFonts w:ascii="Times New Roman" w:hAnsi="Times New Roman" w:cs="Times New Roman"/>
          <w:sz w:val="24"/>
          <w:szCs w:val="24"/>
        </w:rPr>
      </w:pPr>
      <w:r w:rsidRPr="00A252D9">
        <w:rPr>
          <w:rFonts w:ascii="Times New Roman" w:hAnsi="Times New Roman" w:cs="Times New Roman"/>
          <w:sz w:val="24"/>
          <w:szCs w:val="24"/>
        </w:rPr>
        <w:t>Organismo Ejecutivo, todas sus dependencias, entidades centralizadas, descentralizadas y autónomas;</w:t>
      </w:r>
      <w:r>
        <w:rPr>
          <w:rFonts w:ascii="Times New Roman" w:hAnsi="Times New Roman" w:cs="Times New Roman"/>
          <w:sz w:val="24"/>
          <w:szCs w:val="24"/>
        </w:rPr>
        <w:t xml:space="preserve"> incluyendo las Gobernaciones Departamentales.</w:t>
      </w:r>
    </w:p>
    <w:p w:rsidR="00700553" w:rsidRPr="00A252D9" w:rsidRDefault="00700553" w:rsidP="00700553">
      <w:pPr>
        <w:pStyle w:val="Prrafodelista"/>
        <w:numPr>
          <w:ilvl w:val="0"/>
          <w:numId w:val="19"/>
        </w:numPr>
        <w:spacing w:before="240" w:after="240" w:line="240" w:lineRule="auto"/>
        <w:ind w:left="360"/>
        <w:jc w:val="both"/>
        <w:rPr>
          <w:rFonts w:ascii="Times New Roman" w:hAnsi="Times New Roman" w:cs="Times New Roman"/>
          <w:sz w:val="24"/>
          <w:szCs w:val="24"/>
        </w:rPr>
      </w:pPr>
      <w:r w:rsidRPr="00A252D9">
        <w:rPr>
          <w:rFonts w:ascii="Times New Roman" w:hAnsi="Times New Roman" w:cs="Times New Roman"/>
          <w:sz w:val="24"/>
          <w:szCs w:val="24"/>
        </w:rPr>
        <w:t>Organismo Legislativo y todas sus dependencias que lo integran; y</w:t>
      </w:r>
    </w:p>
    <w:p w:rsidR="00700553" w:rsidRPr="00A252D9" w:rsidRDefault="00700553" w:rsidP="00700553">
      <w:pPr>
        <w:pStyle w:val="Prrafodelista"/>
        <w:numPr>
          <w:ilvl w:val="0"/>
          <w:numId w:val="19"/>
        </w:numPr>
        <w:spacing w:before="240" w:after="240" w:line="240" w:lineRule="auto"/>
        <w:ind w:left="360"/>
        <w:jc w:val="both"/>
        <w:rPr>
          <w:rFonts w:ascii="Times New Roman" w:hAnsi="Times New Roman" w:cs="Times New Roman"/>
          <w:sz w:val="24"/>
          <w:szCs w:val="24"/>
        </w:rPr>
      </w:pPr>
      <w:r w:rsidRPr="00A252D9">
        <w:rPr>
          <w:rFonts w:ascii="Times New Roman" w:hAnsi="Times New Roman" w:cs="Times New Roman"/>
          <w:sz w:val="24"/>
          <w:szCs w:val="24"/>
        </w:rPr>
        <w:t>Organismo Judicial y todas las dependencias que lo integran; y</w:t>
      </w:r>
    </w:p>
    <w:p w:rsidR="00700553" w:rsidRPr="00A252D9" w:rsidRDefault="00700553" w:rsidP="00700553">
      <w:pPr>
        <w:jc w:val="both"/>
        <w:rPr>
          <w:rFonts w:ascii="Times New Roman" w:hAnsi="Times New Roman" w:cs="Times New Roman"/>
          <w:sz w:val="24"/>
          <w:szCs w:val="24"/>
        </w:rPr>
      </w:pPr>
      <w:r w:rsidRPr="00A252D9">
        <w:rPr>
          <w:rFonts w:ascii="Times New Roman" w:hAnsi="Times New Roman" w:cs="Times New Roman"/>
          <w:sz w:val="24"/>
          <w:szCs w:val="24"/>
        </w:rPr>
        <w:t xml:space="preserve">El </w:t>
      </w:r>
      <w:r w:rsidRPr="00A252D9">
        <w:rPr>
          <w:rFonts w:ascii="Times New Roman" w:hAnsi="Times New Roman" w:cs="Times New Roman"/>
          <w:b/>
          <w:sz w:val="24"/>
          <w:szCs w:val="24"/>
        </w:rPr>
        <w:t>Organismo Ejecutivo</w:t>
      </w:r>
      <w:r w:rsidRPr="00A252D9">
        <w:rPr>
          <w:rFonts w:ascii="Times New Roman" w:hAnsi="Times New Roman" w:cs="Times New Roman"/>
          <w:sz w:val="24"/>
          <w:szCs w:val="24"/>
        </w:rPr>
        <w:t xml:space="preserve"> dispone de una Unidad de Información Pública individual para cada una de sus dependencias, las cuales tienen diferencias significativas en cuanto a sus políticas y organización interna, debido en parte, por la falta de políticas y estándares para la observancia de la normativa por parte de la Presidencia de dicho Organismo. Por su parte, </w:t>
      </w:r>
      <w:r>
        <w:rPr>
          <w:rFonts w:ascii="Times New Roman" w:hAnsi="Times New Roman" w:cs="Times New Roman"/>
          <w:sz w:val="24"/>
          <w:szCs w:val="24"/>
        </w:rPr>
        <w:t>los</w:t>
      </w:r>
      <w:r w:rsidRPr="00A252D9">
        <w:rPr>
          <w:rFonts w:ascii="Times New Roman" w:hAnsi="Times New Roman" w:cs="Times New Roman"/>
          <w:sz w:val="24"/>
          <w:szCs w:val="24"/>
        </w:rPr>
        <w:t xml:space="preserve"> </w:t>
      </w:r>
      <w:r w:rsidRPr="00A252D9">
        <w:rPr>
          <w:rFonts w:ascii="Times New Roman" w:hAnsi="Times New Roman" w:cs="Times New Roman"/>
          <w:b/>
          <w:sz w:val="24"/>
          <w:szCs w:val="24"/>
        </w:rPr>
        <w:t>Organismo</w:t>
      </w:r>
      <w:r>
        <w:rPr>
          <w:rFonts w:ascii="Times New Roman" w:hAnsi="Times New Roman" w:cs="Times New Roman"/>
          <w:b/>
          <w:sz w:val="24"/>
          <w:szCs w:val="24"/>
        </w:rPr>
        <w:t>s</w:t>
      </w:r>
      <w:r w:rsidRPr="00A252D9">
        <w:rPr>
          <w:rFonts w:ascii="Times New Roman" w:hAnsi="Times New Roman" w:cs="Times New Roman"/>
          <w:b/>
          <w:sz w:val="24"/>
          <w:szCs w:val="24"/>
        </w:rPr>
        <w:t xml:space="preserve"> Legislativo y Judicial</w:t>
      </w:r>
      <w:r w:rsidRPr="001A67EC">
        <w:rPr>
          <w:rFonts w:ascii="Times New Roman" w:hAnsi="Times New Roman" w:cs="Times New Roman"/>
          <w:sz w:val="24"/>
          <w:szCs w:val="24"/>
        </w:rPr>
        <w:t>,</w:t>
      </w:r>
      <w:r w:rsidRPr="00A252D9">
        <w:rPr>
          <w:rFonts w:ascii="Times New Roman" w:hAnsi="Times New Roman" w:cs="Times New Roman"/>
          <w:sz w:val="24"/>
          <w:szCs w:val="24"/>
        </w:rPr>
        <w:t xml:space="preserve"> </w:t>
      </w:r>
      <w:r>
        <w:rPr>
          <w:rFonts w:ascii="Times New Roman" w:hAnsi="Times New Roman" w:cs="Times New Roman"/>
          <w:sz w:val="24"/>
          <w:szCs w:val="24"/>
        </w:rPr>
        <w:t xml:space="preserve">cada uno </w:t>
      </w:r>
      <w:r w:rsidRPr="00A252D9">
        <w:rPr>
          <w:rFonts w:ascii="Times New Roman" w:hAnsi="Times New Roman" w:cs="Times New Roman"/>
          <w:sz w:val="24"/>
          <w:szCs w:val="24"/>
        </w:rPr>
        <w:t xml:space="preserve">funciona como un solo sujeto obligado, con una única Unidad de Información Pública.     </w:t>
      </w:r>
    </w:p>
    <w:p w:rsidR="00700553" w:rsidRPr="00A252D9" w:rsidRDefault="00700553" w:rsidP="00700553">
      <w:pPr>
        <w:jc w:val="both"/>
        <w:rPr>
          <w:rFonts w:ascii="Times New Roman" w:hAnsi="Times New Roman" w:cs="Times New Roman"/>
          <w:sz w:val="24"/>
          <w:szCs w:val="24"/>
        </w:rPr>
      </w:pPr>
      <w:r w:rsidRPr="00A252D9">
        <w:rPr>
          <w:rFonts w:ascii="Times New Roman" w:hAnsi="Times New Roman" w:cs="Times New Roman"/>
          <w:sz w:val="24"/>
          <w:szCs w:val="24"/>
        </w:rPr>
        <w:t xml:space="preserve">En la evaluación de las </w:t>
      </w:r>
      <w:r w:rsidRPr="00A252D9">
        <w:rPr>
          <w:rFonts w:ascii="Times New Roman" w:hAnsi="Times New Roman" w:cs="Times New Roman"/>
          <w:b/>
          <w:sz w:val="24"/>
          <w:szCs w:val="24"/>
        </w:rPr>
        <w:t>Obligaciones de Transparencia</w:t>
      </w:r>
      <w:r w:rsidRPr="00A252D9">
        <w:rPr>
          <w:rFonts w:ascii="Times New Roman" w:hAnsi="Times New Roman" w:cs="Times New Roman"/>
          <w:sz w:val="24"/>
          <w:szCs w:val="24"/>
        </w:rPr>
        <w:t xml:space="preserve"> se consideró en la supervisión la publicación de la información de oficio establecida en el artículo 10 el cuál es de aplicación general, así como los artículos 11, 12 y 13 que se refieren a los organismos Ejecutivo, Judicial y Legislativo respectivamente.  </w:t>
      </w:r>
    </w:p>
    <w:p w:rsidR="00700553" w:rsidRDefault="00700553" w:rsidP="00700553">
      <w:pPr>
        <w:pStyle w:val="NormalWeb"/>
        <w:spacing w:before="0" w:beforeAutospacing="0" w:after="150" w:afterAutospacing="0"/>
        <w:textAlignment w:val="baseline"/>
      </w:pPr>
    </w:p>
    <w:p w:rsidR="00700553" w:rsidRDefault="00700553" w:rsidP="00700553">
      <w:pPr>
        <w:jc w:val="both"/>
        <w:rPr>
          <w:rFonts w:asciiTheme="majorHAnsi" w:eastAsiaTheme="majorEastAsia" w:hAnsiTheme="majorHAnsi" w:cstheme="majorBidi"/>
          <w:color w:val="2F5496" w:themeColor="accent5" w:themeShade="BF"/>
          <w:sz w:val="36"/>
          <w:szCs w:val="36"/>
        </w:rPr>
      </w:pPr>
      <w:r>
        <w:br w:type="page"/>
      </w:r>
    </w:p>
    <w:p w:rsidR="00700553" w:rsidRDefault="00700553" w:rsidP="00700553">
      <w:pPr>
        <w:pStyle w:val="Ttulo1"/>
      </w:pPr>
      <w:bookmarkStart w:id="44" w:name="_Toc60223886"/>
      <w:r>
        <w:lastRenderedPageBreak/>
        <w:t>OBJETIVO Y METODOLOGÍA</w:t>
      </w:r>
      <w:bookmarkEnd w:id="44"/>
    </w:p>
    <w:p w:rsidR="00700553" w:rsidRPr="00635DD6" w:rsidRDefault="00700553" w:rsidP="00700553">
      <w:pPr>
        <w:spacing w:after="0"/>
        <w:rPr>
          <w:rFonts w:ascii="Times New Roman" w:hAnsi="Times New Roman" w:cs="Times New Roman"/>
          <w:b/>
          <w:sz w:val="24"/>
          <w:szCs w:val="24"/>
        </w:rPr>
      </w:pPr>
    </w:p>
    <w:p w:rsidR="00700553" w:rsidRPr="00635DD6" w:rsidRDefault="00700553" w:rsidP="00700553">
      <w:pPr>
        <w:pStyle w:val="Ttulo2"/>
        <w:spacing w:before="0"/>
        <w:rPr>
          <w:rFonts w:ascii="Times New Roman" w:hAnsi="Times New Roman" w:cs="Times New Roman"/>
          <w:b/>
          <w:color w:val="auto"/>
          <w:sz w:val="24"/>
          <w:szCs w:val="24"/>
        </w:rPr>
      </w:pPr>
      <w:bookmarkStart w:id="45" w:name="_Toc60223887"/>
      <w:r w:rsidRPr="00635DD6">
        <w:rPr>
          <w:rFonts w:ascii="Times New Roman" w:hAnsi="Times New Roman" w:cs="Times New Roman"/>
          <w:b/>
          <w:color w:val="auto"/>
          <w:sz w:val="24"/>
          <w:szCs w:val="24"/>
        </w:rPr>
        <w:t>Objetivo General</w:t>
      </w:r>
      <w:bookmarkEnd w:id="45"/>
    </w:p>
    <w:p w:rsidR="00700553" w:rsidRPr="00635DD6" w:rsidRDefault="00700553" w:rsidP="00700553">
      <w:pPr>
        <w:spacing w:after="0" w:line="192" w:lineRule="auto"/>
        <w:jc w:val="both"/>
        <w:rPr>
          <w:rFonts w:ascii="Times New Roman" w:eastAsia="Calibri" w:hAnsi="Times New Roman" w:cs="Times New Roman"/>
          <w:sz w:val="24"/>
          <w:szCs w:val="24"/>
        </w:rPr>
      </w:pPr>
    </w:p>
    <w:p w:rsidR="00700553" w:rsidRDefault="00700553" w:rsidP="00700553">
      <w:pPr>
        <w:spacing w:after="0"/>
        <w:jc w:val="both"/>
        <w:rPr>
          <w:rFonts w:ascii="Times New Roman" w:hAnsi="Times New Roman" w:cs="Times New Roman"/>
          <w:sz w:val="24"/>
          <w:szCs w:val="24"/>
        </w:rPr>
      </w:pPr>
      <w:r w:rsidRPr="00635DD6">
        <w:rPr>
          <w:rFonts w:ascii="Times New Roman" w:hAnsi="Times New Roman" w:cs="Times New Roman"/>
          <w:sz w:val="24"/>
          <w:szCs w:val="24"/>
        </w:rPr>
        <w:t>Promover el pleno ejercicio del derecho humano de acceso a la información pública en Guatemala, en observancia a los preceptos de la Ley de Acceso a la Información Pública y las buenas prácticas en materia de transparencia y buen gobierno.</w:t>
      </w:r>
    </w:p>
    <w:p w:rsidR="00700553" w:rsidRPr="00635DD6" w:rsidRDefault="00700553" w:rsidP="00700553">
      <w:pPr>
        <w:spacing w:after="0"/>
        <w:jc w:val="both"/>
        <w:rPr>
          <w:rFonts w:ascii="Times New Roman" w:hAnsi="Times New Roman" w:cs="Times New Roman"/>
          <w:sz w:val="24"/>
          <w:szCs w:val="24"/>
        </w:rPr>
      </w:pPr>
    </w:p>
    <w:p w:rsidR="00700553" w:rsidRPr="00635DD6" w:rsidRDefault="00700553" w:rsidP="00700553">
      <w:pPr>
        <w:pStyle w:val="Ttulo2"/>
        <w:spacing w:before="0"/>
        <w:rPr>
          <w:rFonts w:ascii="Times New Roman" w:hAnsi="Times New Roman" w:cs="Times New Roman"/>
          <w:b/>
          <w:color w:val="auto"/>
          <w:sz w:val="24"/>
          <w:szCs w:val="24"/>
        </w:rPr>
      </w:pPr>
      <w:bookmarkStart w:id="46" w:name="_Toc60223888"/>
      <w:r w:rsidRPr="00635DD6">
        <w:rPr>
          <w:rFonts w:ascii="Times New Roman" w:hAnsi="Times New Roman" w:cs="Times New Roman"/>
          <w:b/>
          <w:color w:val="auto"/>
          <w:sz w:val="24"/>
          <w:szCs w:val="24"/>
        </w:rPr>
        <w:t>Metodología</w:t>
      </w:r>
      <w:bookmarkEnd w:id="46"/>
    </w:p>
    <w:p w:rsidR="00700553" w:rsidRPr="00635DD6" w:rsidRDefault="00700553" w:rsidP="00700553">
      <w:pPr>
        <w:spacing w:after="0" w:line="192" w:lineRule="auto"/>
        <w:jc w:val="both"/>
        <w:rPr>
          <w:rFonts w:ascii="Times New Roman" w:eastAsia="Calibri" w:hAnsi="Times New Roman" w:cs="Times New Roman"/>
          <w:sz w:val="24"/>
          <w:szCs w:val="24"/>
        </w:rPr>
      </w:pPr>
    </w:p>
    <w:p w:rsidR="00700553" w:rsidRPr="00635DD6" w:rsidRDefault="00700553" w:rsidP="00700553">
      <w:pPr>
        <w:spacing w:after="0" w:line="276" w:lineRule="auto"/>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 xml:space="preserve">La supervisión del portal electrónico se realiza por personal especializado de la Secretaría de Acceso a la Información –SECAI-, verificando la publicación de la Información de Oficio con base en los artículos 10, 11, 12 y 13 de la </w:t>
      </w:r>
      <w:r w:rsidRPr="00635DD6">
        <w:rPr>
          <w:rFonts w:ascii="Times New Roman" w:eastAsia="Calibri" w:hAnsi="Times New Roman" w:cs="Times New Roman"/>
          <w:b/>
          <w:sz w:val="24"/>
          <w:szCs w:val="24"/>
        </w:rPr>
        <w:t>Ley de Acceso a la Información Pública</w:t>
      </w:r>
      <w:r w:rsidRPr="00635DD6">
        <w:rPr>
          <w:rFonts w:ascii="Times New Roman" w:eastAsia="Calibri" w:hAnsi="Times New Roman" w:cs="Times New Roman"/>
          <w:sz w:val="24"/>
          <w:szCs w:val="24"/>
        </w:rPr>
        <w:t xml:space="preserve"> –LAIP-, la cual se realiza por medio de internet ingresando a la página web o portal electrónico de cada sujeto obligado.</w:t>
      </w:r>
    </w:p>
    <w:p w:rsidR="00700553" w:rsidRPr="00635DD6" w:rsidRDefault="00700553" w:rsidP="00700553">
      <w:pPr>
        <w:spacing w:before="240" w:after="0" w:line="276" w:lineRule="auto"/>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 xml:space="preserve">El contenido de la supervisión depende de la naturaleza del sujeto obligado, para lo cual se considera lo siguiente: </w:t>
      </w:r>
    </w:p>
    <w:p w:rsidR="00700553" w:rsidRPr="00635DD6" w:rsidRDefault="00700553" w:rsidP="00700553">
      <w:pPr>
        <w:numPr>
          <w:ilvl w:val="0"/>
          <w:numId w:val="27"/>
        </w:numPr>
        <w:spacing w:before="240" w:after="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Artículo 10 de la LAIP para todas las entidades evaluadas.</w:t>
      </w:r>
    </w:p>
    <w:p w:rsidR="00700553" w:rsidRPr="00635DD6" w:rsidRDefault="00700553" w:rsidP="00700553">
      <w:pPr>
        <w:numPr>
          <w:ilvl w:val="0"/>
          <w:numId w:val="27"/>
        </w:numPr>
        <w:spacing w:before="240" w:after="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Artículo 11 de la LAIP para las entidades del Organismo Ejecutivo.</w:t>
      </w:r>
    </w:p>
    <w:p w:rsidR="00700553" w:rsidRPr="00635DD6" w:rsidRDefault="00700553" w:rsidP="00700553">
      <w:pPr>
        <w:numPr>
          <w:ilvl w:val="0"/>
          <w:numId w:val="27"/>
        </w:numPr>
        <w:spacing w:before="240" w:after="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Artículo 12 de la LAIP para el Organismo Judicial.</w:t>
      </w:r>
    </w:p>
    <w:p w:rsidR="00700553" w:rsidRPr="00635DD6" w:rsidRDefault="00700553" w:rsidP="00700553">
      <w:pPr>
        <w:numPr>
          <w:ilvl w:val="0"/>
          <w:numId w:val="27"/>
        </w:numPr>
        <w:spacing w:before="240" w:after="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Artículo 13 de la LAIP para el Organismo Legislativo.</w:t>
      </w:r>
    </w:p>
    <w:p w:rsidR="00700553" w:rsidRPr="00635DD6" w:rsidRDefault="00700553" w:rsidP="00700553">
      <w:pPr>
        <w:numPr>
          <w:ilvl w:val="0"/>
          <w:numId w:val="27"/>
        </w:numPr>
        <w:spacing w:before="240" w:after="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La actualización de la información según el artículo 7 de la Ley de Acceso a la Información Pública, para todos los sujetos obligados.</w:t>
      </w:r>
    </w:p>
    <w:p w:rsidR="00700553" w:rsidRPr="00635DD6" w:rsidRDefault="00700553" w:rsidP="00700553">
      <w:pPr>
        <w:spacing w:after="0" w:line="276" w:lineRule="auto"/>
        <w:jc w:val="both"/>
        <w:rPr>
          <w:rFonts w:ascii="Times New Roman" w:eastAsia="Calibri" w:hAnsi="Times New Roman" w:cs="Times New Roman"/>
          <w:b/>
          <w:sz w:val="24"/>
          <w:szCs w:val="24"/>
        </w:rPr>
      </w:pPr>
    </w:p>
    <w:p w:rsidR="00700553" w:rsidRPr="00635DD6" w:rsidRDefault="00700553" w:rsidP="00700553">
      <w:pPr>
        <w:spacing w:after="0" w:line="276" w:lineRule="auto"/>
        <w:jc w:val="both"/>
        <w:rPr>
          <w:rFonts w:ascii="Times New Roman" w:eastAsia="Calibri" w:hAnsi="Times New Roman" w:cs="Times New Roman"/>
          <w:sz w:val="24"/>
          <w:szCs w:val="24"/>
        </w:rPr>
      </w:pPr>
      <w:r w:rsidRPr="00635DD6">
        <w:rPr>
          <w:rFonts w:ascii="Times New Roman" w:eastAsia="Calibri" w:hAnsi="Times New Roman" w:cs="Times New Roman"/>
          <w:b/>
          <w:sz w:val="24"/>
          <w:szCs w:val="24"/>
        </w:rPr>
        <w:t>Los principios de la Ley de Acceso a la Información Pública</w:t>
      </w:r>
      <w:r w:rsidRPr="00635DD6">
        <w:rPr>
          <w:rFonts w:ascii="Times New Roman" w:eastAsia="Calibri" w:hAnsi="Times New Roman" w:cs="Times New Roman"/>
          <w:sz w:val="24"/>
          <w:szCs w:val="24"/>
        </w:rPr>
        <w:t>: máxima publicidad; transparencia en el manejo y ejecución de los recursos públicos y actos de la administración pública; gratuidad en el acceso a la información pública; y sencillez y celeridad de procedimiento, son también parte de la supervisión y son aplicables a la totalidad de sujetos obligados.</w:t>
      </w:r>
    </w:p>
    <w:p w:rsidR="00700553" w:rsidRPr="00635DD6" w:rsidRDefault="00700553" w:rsidP="00700553">
      <w:pPr>
        <w:spacing w:before="240" w:after="0" w:line="276" w:lineRule="auto"/>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Se utiliza una boleta estándar y sistematizada y se aplica una fórmula para determinar el nivel de cumplimiento según la cantidad y calidad de la información publicada en los portales electrónicos.  De toda la supervisión se conservan capturas de pantalla para respaldo de los informes de supervisión, los cuales son remitidos a los sujetos obligados en espera de sus comentarios y requiriendo que se complete toda la información y atender a un cumplimiento del 100% en el menor plazo posible.</w:t>
      </w:r>
    </w:p>
    <w:p w:rsidR="00700553" w:rsidRPr="00635DD6" w:rsidRDefault="00700553" w:rsidP="00700553">
      <w:pPr>
        <w:spacing w:after="200" w:line="276" w:lineRule="auto"/>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Dependiendo la cantidad de elementos requeridos en cada numeral de los referidos artículos, se han seleccionado:</w:t>
      </w:r>
    </w:p>
    <w:p w:rsidR="00700553" w:rsidRPr="00635DD6" w:rsidRDefault="00700553" w:rsidP="00700553">
      <w:pPr>
        <w:numPr>
          <w:ilvl w:val="0"/>
          <w:numId w:val="26"/>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37 ELEMENTOS CON PONDERACIÓN, en la sección en la que se evaluará el artículo 10 de la Ley de Acceso a la Información Pública. Esta sección es aplicable a todos los sujetos obligados supervisados.</w:t>
      </w:r>
    </w:p>
    <w:p w:rsidR="00700553" w:rsidRPr="00635DD6" w:rsidRDefault="00700553" w:rsidP="00700553">
      <w:pPr>
        <w:numPr>
          <w:ilvl w:val="0"/>
          <w:numId w:val="26"/>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lastRenderedPageBreak/>
        <w:t>3 ASPECTOS CON PONDERACIÓN en la sección de “Atención de los Principios de la Ley de Acceso a la Información Pública”, los mismos son aplicables a todos los sujetos obligados supervisados.</w:t>
      </w:r>
    </w:p>
    <w:p w:rsidR="00700553" w:rsidRPr="00635DD6" w:rsidRDefault="00700553" w:rsidP="00700553">
      <w:pPr>
        <w:numPr>
          <w:ilvl w:val="0"/>
          <w:numId w:val="26"/>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3 ELEMENTOS CON PONDERACION en la sección en la que se evaluará publicación de lo regulado en el Artículo 11 de la Ley de Acceso a la Información Pública, aplicable únicamente a entidades del Organismo Ejecutivo.</w:t>
      </w:r>
    </w:p>
    <w:p w:rsidR="00700553" w:rsidRPr="00635DD6" w:rsidRDefault="00700553" w:rsidP="00700553">
      <w:pPr>
        <w:numPr>
          <w:ilvl w:val="0"/>
          <w:numId w:val="26"/>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6 ELEMENTOS CON PONDERACIÓN en la publicación de lo regulado en el Artículo 12 de la Ley de Acceso a la Información Pública, aplicable únicamente al Organismo Judicial.</w:t>
      </w:r>
    </w:p>
    <w:p w:rsidR="00700553" w:rsidRPr="00635DD6" w:rsidRDefault="00700553" w:rsidP="00700553">
      <w:pPr>
        <w:numPr>
          <w:ilvl w:val="0"/>
          <w:numId w:val="26"/>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12 ELEMENTOS CON PONDERACIÓN en la publicación de lo regulado en el Artículo 13 de la Ley de Acceso a la Información Pública, aplicable únicamente al Organismo Legislativo.</w:t>
      </w:r>
    </w:p>
    <w:p w:rsidR="00700553" w:rsidRPr="00635DD6" w:rsidRDefault="00700553" w:rsidP="00700553">
      <w:pPr>
        <w:spacing w:after="0" w:line="276" w:lineRule="auto"/>
        <w:jc w:val="both"/>
        <w:rPr>
          <w:rFonts w:ascii="Times New Roman" w:eastAsia="Calibri" w:hAnsi="Times New Roman" w:cs="Times New Roman"/>
          <w:b/>
          <w:sz w:val="24"/>
          <w:szCs w:val="24"/>
        </w:rPr>
      </w:pPr>
      <w:bookmarkStart w:id="47" w:name="_Toc535594151"/>
    </w:p>
    <w:p w:rsidR="00700553" w:rsidRPr="00635DD6" w:rsidRDefault="00700553" w:rsidP="00700553">
      <w:pPr>
        <w:spacing w:after="200" w:line="276" w:lineRule="auto"/>
        <w:jc w:val="both"/>
        <w:rPr>
          <w:rFonts w:ascii="Times New Roman" w:eastAsia="Calibri" w:hAnsi="Times New Roman" w:cs="Times New Roman"/>
          <w:b/>
          <w:sz w:val="24"/>
          <w:szCs w:val="24"/>
        </w:rPr>
      </w:pPr>
      <w:r w:rsidRPr="00635DD6">
        <w:rPr>
          <w:rFonts w:ascii="Times New Roman" w:eastAsia="Calibri" w:hAnsi="Times New Roman" w:cs="Times New Roman"/>
          <w:b/>
          <w:sz w:val="24"/>
          <w:szCs w:val="24"/>
        </w:rPr>
        <w:t>Criterios de cumplimiento</w:t>
      </w:r>
      <w:bookmarkEnd w:id="47"/>
    </w:p>
    <w:p w:rsidR="00700553" w:rsidRPr="00635DD6" w:rsidRDefault="00700553" w:rsidP="00700553">
      <w:pPr>
        <w:spacing w:after="200" w:line="276" w:lineRule="auto"/>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 xml:space="preserve">En el proceso de la supervisión a cada elemento evaluado se le asigna una categoría de acuerdo a la información publicada, de la siguiente manera: </w:t>
      </w:r>
    </w:p>
    <w:p w:rsidR="00700553" w:rsidRPr="00635DD6" w:rsidRDefault="00700553" w:rsidP="00700553">
      <w:pPr>
        <w:numPr>
          <w:ilvl w:val="0"/>
          <w:numId w:val="25"/>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 xml:space="preserve">Si = </w:t>
      </w:r>
      <w:r w:rsidRPr="00635DD6">
        <w:rPr>
          <w:rFonts w:ascii="Times New Roman" w:eastAsia="Calibri" w:hAnsi="Times New Roman" w:cs="Times New Roman"/>
          <w:sz w:val="24"/>
          <w:szCs w:val="24"/>
        </w:rPr>
        <w:tab/>
        <w:t>Cuando la información se encuentra completa y actualizada.</w:t>
      </w:r>
    </w:p>
    <w:p w:rsidR="00700553" w:rsidRPr="00635DD6" w:rsidRDefault="00700553" w:rsidP="00700553">
      <w:pPr>
        <w:numPr>
          <w:ilvl w:val="0"/>
          <w:numId w:val="25"/>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Parcial = Cuando la información se encuentra incompleta y/o desactualizada</w:t>
      </w:r>
      <w:r>
        <w:rPr>
          <w:rFonts w:ascii="Times New Roman" w:eastAsia="Calibri" w:hAnsi="Times New Roman" w:cs="Times New Roman"/>
          <w:sz w:val="24"/>
          <w:szCs w:val="24"/>
        </w:rPr>
        <w:t>, hasta un máximo de seis meses</w:t>
      </w:r>
      <w:r w:rsidRPr="00635DD6">
        <w:rPr>
          <w:rFonts w:ascii="Times New Roman" w:eastAsia="Calibri" w:hAnsi="Times New Roman" w:cs="Times New Roman"/>
          <w:sz w:val="24"/>
          <w:szCs w:val="24"/>
        </w:rPr>
        <w:t>.</w:t>
      </w:r>
    </w:p>
    <w:p w:rsidR="00700553" w:rsidRPr="00635DD6" w:rsidRDefault="00700553" w:rsidP="00700553">
      <w:pPr>
        <w:numPr>
          <w:ilvl w:val="0"/>
          <w:numId w:val="25"/>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 xml:space="preserve">No = </w:t>
      </w:r>
      <w:r w:rsidRPr="00635DD6">
        <w:rPr>
          <w:rFonts w:ascii="Times New Roman" w:eastAsia="Calibri" w:hAnsi="Times New Roman" w:cs="Times New Roman"/>
          <w:sz w:val="24"/>
          <w:szCs w:val="24"/>
        </w:rPr>
        <w:tab/>
        <w:t>Cuando la información no se publica o tiene más de seis meses de desactualización.</w:t>
      </w:r>
    </w:p>
    <w:p w:rsidR="00700553" w:rsidRDefault="00700553" w:rsidP="00700553">
      <w:pPr>
        <w:numPr>
          <w:ilvl w:val="0"/>
          <w:numId w:val="25"/>
        </w:numPr>
        <w:spacing w:after="200" w:line="276" w:lineRule="auto"/>
        <w:contextualSpacing/>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 xml:space="preserve">N/A = </w:t>
      </w:r>
      <w:r w:rsidRPr="00635DD6">
        <w:rPr>
          <w:rFonts w:ascii="Times New Roman" w:eastAsia="Calibri" w:hAnsi="Times New Roman" w:cs="Times New Roman"/>
          <w:sz w:val="24"/>
          <w:szCs w:val="24"/>
        </w:rPr>
        <w:tab/>
        <w:t>(No Aplica o Sin Ejecución) Cuando el sujeto obligado publica en el portal electrónico una justificación técnica y/o legal indicando los motivos por los cuales no genera dicha información.</w:t>
      </w:r>
    </w:p>
    <w:p w:rsidR="00700553" w:rsidRPr="00635DD6" w:rsidRDefault="00700553" w:rsidP="00700553">
      <w:pPr>
        <w:spacing w:after="200" w:line="276" w:lineRule="auto"/>
        <w:contextualSpacing/>
        <w:jc w:val="both"/>
        <w:rPr>
          <w:rFonts w:ascii="Times New Roman" w:eastAsia="Calibri" w:hAnsi="Times New Roman" w:cs="Times New Roman"/>
          <w:sz w:val="24"/>
          <w:szCs w:val="24"/>
        </w:rPr>
      </w:pPr>
    </w:p>
    <w:p w:rsidR="00700553" w:rsidRPr="00635DD6" w:rsidRDefault="00700553" w:rsidP="00700553">
      <w:pPr>
        <w:spacing w:after="200" w:line="276" w:lineRule="auto"/>
        <w:jc w:val="both"/>
        <w:rPr>
          <w:rFonts w:ascii="Times New Roman" w:eastAsia="Calibri" w:hAnsi="Times New Roman" w:cs="Times New Roman"/>
          <w:b/>
          <w:sz w:val="24"/>
          <w:szCs w:val="24"/>
        </w:rPr>
      </w:pPr>
      <w:r w:rsidRPr="00635DD6">
        <w:rPr>
          <w:rFonts w:ascii="Times New Roman" w:eastAsia="Calibri" w:hAnsi="Times New Roman" w:cs="Times New Roman"/>
          <w:b/>
          <w:sz w:val="24"/>
          <w:szCs w:val="24"/>
        </w:rPr>
        <w:t>Fórmula para calcular el nivel de cumplimiento</w:t>
      </w:r>
    </w:p>
    <w:p w:rsidR="00700553" w:rsidRPr="00635DD6" w:rsidRDefault="00700553" w:rsidP="00700553">
      <w:pPr>
        <w:spacing w:after="0" w:line="240" w:lineRule="auto"/>
        <w:jc w:val="both"/>
        <w:rPr>
          <w:rFonts w:ascii="Times New Roman" w:eastAsia="Calibri" w:hAnsi="Times New Roman" w:cs="Times New Roman"/>
          <w:sz w:val="24"/>
          <w:szCs w:val="24"/>
        </w:rPr>
      </w:pPr>
      <w:r w:rsidRPr="00635DD6">
        <w:rPr>
          <w:rFonts w:ascii="Times New Roman" w:eastAsia="Calibri" w:hAnsi="Times New Roman" w:cs="Times New Roman"/>
          <w:sz w:val="24"/>
          <w:szCs w:val="24"/>
        </w:rPr>
        <w:t>Posterior a la aplicación de la boleta de supervisión, se obtiene la totalidad de elementos a evaluar aplicables al sujeto obligado, el nivel de cumplimiento (NC) se calcula con la siguiente fórmula:</w:t>
      </w:r>
    </w:p>
    <w:p w:rsidR="00700553" w:rsidRPr="0061709B" w:rsidRDefault="00700553" w:rsidP="00700553">
      <w:pPr>
        <w:spacing w:after="0" w:line="240" w:lineRule="auto"/>
        <w:jc w:val="both"/>
        <w:rPr>
          <w:rFonts w:ascii="Calibri" w:eastAsia="Calibri" w:hAnsi="Calibri" w:cs="Times New Roman"/>
        </w:rPr>
      </w:pPr>
    </w:p>
    <w:tbl>
      <w:tblPr>
        <w:tblW w:w="5215" w:type="dxa"/>
        <w:jc w:val="center"/>
        <w:shd w:val="clear" w:color="auto" w:fill="DEEAF6" w:themeFill="accent1" w:themeFillTint="33"/>
        <w:tblCellMar>
          <w:left w:w="70" w:type="dxa"/>
          <w:right w:w="70" w:type="dxa"/>
        </w:tblCellMar>
        <w:tblLook w:val="04A0" w:firstRow="1" w:lastRow="0" w:firstColumn="1" w:lastColumn="0" w:noHBand="0" w:noVBand="1"/>
      </w:tblPr>
      <w:tblGrid>
        <w:gridCol w:w="1452"/>
        <w:gridCol w:w="469"/>
        <w:gridCol w:w="280"/>
        <w:gridCol w:w="859"/>
        <w:gridCol w:w="2290"/>
      </w:tblGrid>
      <w:tr w:rsidR="00700553" w:rsidRPr="00BC2B8D" w:rsidTr="00526818">
        <w:trPr>
          <w:trHeight w:val="402"/>
          <w:jc w:val="center"/>
        </w:trPr>
        <w:tc>
          <w:tcPr>
            <w:tcW w:w="1328" w:type="dxa"/>
            <w:vMerge w:val="restart"/>
            <w:tcBorders>
              <w:top w:val="single" w:sz="4" w:space="0" w:color="auto"/>
              <w:left w:val="single" w:sz="4" w:space="0" w:color="auto"/>
              <w:bottom w:val="single" w:sz="4" w:space="0" w:color="000000"/>
              <w:right w:val="nil"/>
            </w:tcBorders>
            <w:shd w:val="clear" w:color="auto" w:fill="DEEAF6" w:themeFill="accent1" w:themeFillTint="33"/>
            <w:noWrap/>
            <w:vAlign w:val="center"/>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
                <w:bCs/>
                <w:sz w:val="20"/>
                <w:szCs w:val="20"/>
                <w:lang w:eastAsia="es-GT"/>
              </w:rPr>
              <w:t>FORMULA</w:t>
            </w:r>
            <w:r w:rsidRPr="00BC2B8D">
              <w:rPr>
                <w:rFonts w:ascii="Times New Roman" w:eastAsia="Calibri" w:hAnsi="Times New Roman" w:cs="Times New Roman"/>
                <w:bCs/>
                <w:sz w:val="20"/>
                <w:szCs w:val="20"/>
                <w:lang w:eastAsia="es-GT"/>
              </w:rPr>
              <w:t>:</w:t>
            </w:r>
          </w:p>
        </w:tc>
        <w:tc>
          <w:tcPr>
            <w:tcW w:w="469" w:type="dxa"/>
            <w:vMerge w:val="restart"/>
            <w:tcBorders>
              <w:top w:val="single" w:sz="4" w:space="0" w:color="auto"/>
              <w:left w:val="nil"/>
              <w:bottom w:val="single" w:sz="4" w:space="0" w:color="000000"/>
              <w:right w:val="nil"/>
            </w:tcBorders>
            <w:shd w:val="clear" w:color="auto" w:fill="DEEAF6" w:themeFill="accent1" w:themeFillTint="33"/>
            <w:noWrap/>
            <w:vAlign w:val="center"/>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NC</w:t>
            </w:r>
          </w:p>
        </w:tc>
        <w:tc>
          <w:tcPr>
            <w:tcW w:w="280" w:type="dxa"/>
            <w:vMerge w:val="restart"/>
            <w:tcBorders>
              <w:top w:val="single" w:sz="4" w:space="0" w:color="auto"/>
              <w:left w:val="nil"/>
              <w:bottom w:val="single" w:sz="4" w:space="0" w:color="000000"/>
              <w:right w:val="nil"/>
            </w:tcBorders>
            <w:shd w:val="clear" w:color="auto" w:fill="DEEAF6" w:themeFill="accent1" w:themeFillTint="33"/>
            <w:noWrap/>
            <w:vAlign w:val="center"/>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848" w:type="dxa"/>
            <w:tcBorders>
              <w:top w:val="single" w:sz="4" w:space="0" w:color="auto"/>
              <w:left w:val="nil"/>
              <w:bottom w:val="single" w:sz="4" w:space="0" w:color="auto"/>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S+(P*½)</w:t>
            </w:r>
          </w:p>
        </w:tc>
        <w:tc>
          <w:tcPr>
            <w:tcW w:w="2290" w:type="dxa"/>
            <w:vMerge w:val="restart"/>
            <w:tcBorders>
              <w:top w:val="single" w:sz="4" w:space="0" w:color="auto"/>
              <w:left w:val="nil"/>
              <w:bottom w:val="single" w:sz="4" w:space="0" w:color="000000"/>
              <w:right w:val="single" w:sz="4" w:space="0" w:color="auto"/>
            </w:tcBorders>
            <w:shd w:val="clear" w:color="auto" w:fill="DEEAF6" w:themeFill="accent1" w:themeFillTint="33"/>
            <w:noWrap/>
            <w:vAlign w:val="center"/>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*100</w:t>
            </w:r>
          </w:p>
        </w:tc>
      </w:tr>
      <w:tr w:rsidR="00700553" w:rsidRPr="00BC2B8D" w:rsidTr="00526818">
        <w:trPr>
          <w:trHeight w:val="247"/>
          <w:jc w:val="center"/>
        </w:trPr>
        <w:tc>
          <w:tcPr>
            <w:tcW w:w="1328" w:type="dxa"/>
            <w:vMerge/>
            <w:tcBorders>
              <w:top w:val="single" w:sz="4" w:space="0" w:color="auto"/>
              <w:left w:val="single" w:sz="4" w:space="0" w:color="auto"/>
              <w:bottom w:val="single" w:sz="4" w:space="0" w:color="000000"/>
              <w:right w:val="nil"/>
            </w:tcBorders>
            <w:shd w:val="clear" w:color="auto" w:fill="DEEAF6" w:themeFill="accent1" w:themeFillTint="33"/>
            <w:vAlign w:val="center"/>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p>
        </w:tc>
        <w:tc>
          <w:tcPr>
            <w:tcW w:w="469" w:type="dxa"/>
            <w:vMerge/>
            <w:tcBorders>
              <w:top w:val="single" w:sz="4" w:space="0" w:color="auto"/>
              <w:left w:val="nil"/>
              <w:bottom w:val="single" w:sz="4" w:space="0" w:color="000000"/>
              <w:right w:val="nil"/>
            </w:tcBorders>
            <w:shd w:val="clear" w:color="auto" w:fill="DEEAF6" w:themeFill="accent1" w:themeFillTint="33"/>
            <w:vAlign w:val="center"/>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p>
        </w:tc>
        <w:tc>
          <w:tcPr>
            <w:tcW w:w="280" w:type="dxa"/>
            <w:vMerge/>
            <w:tcBorders>
              <w:top w:val="single" w:sz="4" w:space="0" w:color="auto"/>
              <w:left w:val="nil"/>
              <w:bottom w:val="single" w:sz="4" w:space="0" w:color="000000"/>
              <w:right w:val="nil"/>
            </w:tcBorders>
            <w:shd w:val="clear" w:color="auto" w:fill="DEEAF6" w:themeFill="accent1" w:themeFillTint="33"/>
            <w:vAlign w:val="center"/>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p>
        </w:tc>
        <w:tc>
          <w:tcPr>
            <w:tcW w:w="848" w:type="dxa"/>
            <w:tcBorders>
              <w:top w:val="nil"/>
              <w:left w:val="nil"/>
              <w:bottom w:val="single" w:sz="4" w:space="0" w:color="auto"/>
              <w:right w:val="nil"/>
            </w:tcBorders>
            <w:shd w:val="clear" w:color="auto" w:fill="DEEAF6" w:themeFill="accent1" w:themeFillTint="33"/>
            <w:noWrap/>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T-na</w:t>
            </w:r>
          </w:p>
        </w:tc>
        <w:tc>
          <w:tcPr>
            <w:tcW w:w="2290" w:type="dxa"/>
            <w:vMerge/>
            <w:tcBorders>
              <w:top w:val="single" w:sz="4" w:space="0" w:color="auto"/>
              <w:left w:val="nil"/>
              <w:bottom w:val="single" w:sz="4" w:space="0" w:color="000000"/>
              <w:right w:val="single" w:sz="4" w:space="0" w:color="auto"/>
            </w:tcBorders>
            <w:shd w:val="clear" w:color="auto" w:fill="DEEAF6" w:themeFill="accent1" w:themeFillTint="33"/>
            <w:vAlign w:val="center"/>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p>
        </w:tc>
      </w:tr>
      <w:tr w:rsidR="00700553" w:rsidRPr="00BC2B8D" w:rsidTr="00526818">
        <w:trPr>
          <w:trHeight w:val="255"/>
          <w:jc w:val="center"/>
        </w:trPr>
        <w:tc>
          <w:tcPr>
            <w:tcW w:w="1328" w:type="dxa"/>
            <w:vMerge w:val="restart"/>
            <w:tcBorders>
              <w:top w:val="single" w:sz="4" w:space="0" w:color="auto"/>
              <w:left w:val="single" w:sz="4" w:space="0" w:color="auto"/>
              <w:bottom w:val="nil"/>
              <w:right w:val="nil"/>
            </w:tcBorders>
            <w:shd w:val="clear" w:color="auto" w:fill="DEEAF6" w:themeFill="accent1" w:themeFillTint="33"/>
            <w:noWrap/>
            <w:vAlign w:val="center"/>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SIMBOLOGÍA:</w:t>
            </w:r>
          </w:p>
        </w:tc>
        <w:tc>
          <w:tcPr>
            <w:tcW w:w="469" w:type="dxa"/>
            <w:tcBorders>
              <w:top w:val="single" w:sz="4" w:space="0" w:color="auto"/>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S</w:t>
            </w:r>
          </w:p>
        </w:tc>
        <w:tc>
          <w:tcPr>
            <w:tcW w:w="280" w:type="dxa"/>
            <w:tcBorders>
              <w:top w:val="single" w:sz="4" w:space="0" w:color="auto"/>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3138" w:type="dxa"/>
            <w:gridSpan w:val="2"/>
            <w:tcBorders>
              <w:top w:val="single" w:sz="4" w:space="0" w:color="auto"/>
              <w:left w:val="nil"/>
              <w:bottom w:val="nil"/>
              <w:right w:val="single" w:sz="4" w:space="0" w:color="000000"/>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Si</w:t>
            </w:r>
          </w:p>
        </w:tc>
      </w:tr>
      <w:tr w:rsidR="00700553" w:rsidRPr="00BC2B8D" w:rsidTr="00526818">
        <w:trPr>
          <w:trHeight w:val="255"/>
          <w:jc w:val="center"/>
        </w:trPr>
        <w:tc>
          <w:tcPr>
            <w:tcW w:w="1328" w:type="dxa"/>
            <w:vMerge/>
            <w:tcBorders>
              <w:top w:val="single" w:sz="4" w:space="0" w:color="auto"/>
              <w:left w:val="single" w:sz="4" w:space="0" w:color="auto"/>
              <w:bottom w:val="nil"/>
              <w:right w:val="nil"/>
            </w:tcBorders>
            <w:shd w:val="clear" w:color="auto" w:fill="DEEAF6" w:themeFill="accent1" w:themeFillTint="33"/>
            <w:vAlign w:val="center"/>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p>
        </w:tc>
        <w:tc>
          <w:tcPr>
            <w:tcW w:w="469"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N</w:t>
            </w:r>
          </w:p>
        </w:tc>
        <w:tc>
          <w:tcPr>
            <w:tcW w:w="280"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3138" w:type="dxa"/>
            <w:gridSpan w:val="2"/>
            <w:tcBorders>
              <w:top w:val="nil"/>
              <w:left w:val="nil"/>
              <w:bottom w:val="nil"/>
              <w:right w:val="single" w:sz="4" w:space="0" w:color="000000"/>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No</w:t>
            </w:r>
          </w:p>
        </w:tc>
      </w:tr>
      <w:tr w:rsidR="00700553" w:rsidRPr="00BC2B8D" w:rsidTr="00526818">
        <w:trPr>
          <w:trHeight w:val="255"/>
          <w:jc w:val="center"/>
        </w:trPr>
        <w:tc>
          <w:tcPr>
            <w:tcW w:w="1328" w:type="dxa"/>
            <w:tcBorders>
              <w:top w:val="nil"/>
              <w:left w:val="single" w:sz="4" w:space="0" w:color="auto"/>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 </w:t>
            </w:r>
          </w:p>
        </w:tc>
        <w:tc>
          <w:tcPr>
            <w:tcW w:w="469"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P</w:t>
            </w:r>
          </w:p>
        </w:tc>
        <w:tc>
          <w:tcPr>
            <w:tcW w:w="280"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3138" w:type="dxa"/>
            <w:gridSpan w:val="2"/>
            <w:tcBorders>
              <w:top w:val="nil"/>
              <w:left w:val="nil"/>
              <w:bottom w:val="nil"/>
              <w:right w:val="single" w:sz="4" w:space="0" w:color="000000"/>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Parcial</w:t>
            </w:r>
          </w:p>
        </w:tc>
      </w:tr>
      <w:tr w:rsidR="00700553" w:rsidRPr="00BC2B8D" w:rsidTr="00526818">
        <w:trPr>
          <w:trHeight w:val="255"/>
          <w:jc w:val="center"/>
        </w:trPr>
        <w:tc>
          <w:tcPr>
            <w:tcW w:w="1328" w:type="dxa"/>
            <w:tcBorders>
              <w:top w:val="nil"/>
              <w:left w:val="single" w:sz="4" w:space="0" w:color="auto"/>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 </w:t>
            </w:r>
          </w:p>
        </w:tc>
        <w:tc>
          <w:tcPr>
            <w:tcW w:w="469"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na</w:t>
            </w:r>
          </w:p>
        </w:tc>
        <w:tc>
          <w:tcPr>
            <w:tcW w:w="280"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3138" w:type="dxa"/>
            <w:gridSpan w:val="2"/>
            <w:tcBorders>
              <w:top w:val="nil"/>
              <w:left w:val="nil"/>
              <w:bottom w:val="nil"/>
              <w:right w:val="single" w:sz="4" w:space="0" w:color="000000"/>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No aplica</w:t>
            </w:r>
          </w:p>
        </w:tc>
      </w:tr>
      <w:tr w:rsidR="00700553" w:rsidRPr="00BC2B8D" w:rsidTr="00526818">
        <w:trPr>
          <w:trHeight w:val="255"/>
          <w:jc w:val="center"/>
        </w:trPr>
        <w:tc>
          <w:tcPr>
            <w:tcW w:w="1328" w:type="dxa"/>
            <w:tcBorders>
              <w:top w:val="nil"/>
              <w:left w:val="single" w:sz="4" w:space="0" w:color="auto"/>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 </w:t>
            </w:r>
          </w:p>
        </w:tc>
        <w:tc>
          <w:tcPr>
            <w:tcW w:w="469"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T</w:t>
            </w:r>
          </w:p>
        </w:tc>
        <w:tc>
          <w:tcPr>
            <w:tcW w:w="280"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3138" w:type="dxa"/>
            <w:gridSpan w:val="2"/>
            <w:tcBorders>
              <w:top w:val="nil"/>
              <w:left w:val="nil"/>
              <w:bottom w:val="nil"/>
              <w:right w:val="single" w:sz="4" w:space="0" w:color="000000"/>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Total elementos a evaluar</w:t>
            </w:r>
          </w:p>
        </w:tc>
      </w:tr>
      <w:tr w:rsidR="00700553" w:rsidRPr="00BC2B8D" w:rsidTr="00526818">
        <w:trPr>
          <w:trHeight w:val="255"/>
          <w:jc w:val="center"/>
        </w:trPr>
        <w:tc>
          <w:tcPr>
            <w:tcW w:w="1328" w:type="dxa"/>
            <w:tcBorders>
              <w:top w:val="nil"/>
              <w:left w:val="single" w:sz="4" w:space="0" w:color="auto"/>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 </w:t>
            </w:r>
          </w:p>
        </w:tc>
        <w:tc>
          <w:tcPr>
            <w:tcW w:w="469"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½</w:t>
            </w:r>
          </w:p>
        </w:tc>
        <w:tc>
          <w:tcPr>
            <w:tcW w:w="280"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3138" w:type="dxa"/>
            <w:gridSpan w:val="2"/>
            <w:tcBorders>
              <w:top w:val="nil"/>
              <w:left w:val="nil"/>
              <w:bottom w:val="nil"/>
              <w:right w:val="single" w:sz="4" w:space="0" w:color="000000"/>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Medio punto</w:t>
            </w:r>
          </w:p>
        </w:tc>
      </w:tr>
      <w:tr w:rsidR="00700553" w:rsidRPr="00BC2B8D" w:rsidTr="00526818">
        <w:trPr>
          <w:trHeight w:val="255"/>
          <w:jc w:val="center"/>
        </w:trPr>
        <w:tc>
          <w:tcPr>
            <w:tcW w:w="1328" w:type="dxa"/>
            <w:tcBorders>
              <w:top w:val="nil"/>
              <w:left w:val="single" w:sz="4" w:space="0" w:color="auto"/>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 </w:t>
            </w:r>
          </w:p>
        </w:tc>
        <w:tc>
          <w:tcPr>
            <w:tcW w:w="469"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100</w:t>
            </w:r>
          </w:p>
        </w:tc>
        <w:tc>
          <w:tcPr>
            <w:tcW w:w="280" w:type="dxa"/>
            <w:tcBorders>
              <w:top w:val="nil"/>
              <w:left w:val="nil"/>
              <w:bottom w:val="nil"/>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3138" w:type="dxa"/>
            <w:gridSpan w:val="2"/>
            <w:tcBorders>
              <w:top w:val="nil"/>
              <w:left w:val="nil"/>
              <w:bottom w:val="nil"/>
              <w:right w:val="single" w:sz="4" w:space="0" w:color="000000"/>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Para elevar a porcentaje</w:t>
            </w:r>
          </w:p>
        </w:tc>
      </w:tr>
      <w:tr w:rsidR="00700553" w:rsidRPr="00BC2B8D" w:rsidTr="00526818">
        <w:trPr>
          <w:trHeight w:val="255"/>
          <w:jc w:val="center"/>
        </w:trPr>
        <w:tc>
          <w:tcPr>
            <w:tcW w:w="1328" w:type="dxa"/>
            <w:tcBorders>
              <w:top w:val="nil"/>
              <w:left w:val="single" w:sz="4" w:space="0" w:color="auto"/>
              <w:bottom w:val="single" w:sz="4" w:space="0" w:color="auto"/>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 </w:t>
            </w:r>
          </w:p>
        </w:tc>
        <w:tc>
          <w:tcPr>
            <w:tcW w:w="469" w:type="dxa"/>
            <w:tcBorders>
              <w:top w:val="nil"/>
              <w:left w:val="nil"/>
              <w:bottom w:val="single" w:sz="4" w:space="0" w:color="auto"/>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bCs/>
                <w:sz w:val="20"/>
                <w:szCs w:val="20"/>
                <w:lang w:eastAsia="es-GT"/>
              </w:rPr>
            </w:pPr>
            <w:r w:rsidRPr="00BC2B8D">
              <w:rPr>
                <w:rFonts w:ascii="Times New Roman" w:eastAsia="Calibri" w:hAnsi="Times New Roman" w:cs="Times New Roman"/>
                <w:bCs/>
                <w:sz w:val="20"/>
                <w:szCs w:val="20"/>
                <w:lang w:eastAsia="es-GT"/>
              </w:rPr>
              <w:t>NC</w:t>
            </w:r>
          </w:p>
        </w:tc>
        <w:tc>
          <w:tcPr>
            <w:tcW w:w="280" w:type="dxa"/>
            <w:tcBorders>
              <w:top w:val="nil"/>
              <w:left w:val="nil"/>
              <w:bottom w:val="single" w:sz="4" w:space="0" w:color="auto"/>
              <w:right w:val="nil"/>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w:t>
            </w:r>
          </w:p>
        </w:tc>
        <w:tc>
          <w:tcPr>
            <w:tcW w:w="3138" w:type="dxa"/>
            <w:gridSpan w:val="2"/>
            <w:tcBorders>
              <w:top w:val="nil"/>
              <w:left w:val="nil"/>
              <w:bottom w:val="single" w:sz="4" w:space="0" w:color="auto"/>
              <w:right w:val="single" w:sz="4" w:space="0" w:color="000000"/>
            </w:tcBorders>
            <w:shd w:val="clear" w:color="auto" w:fill="DEEAF6" w:themeFill="accent1" w:themeFillTint="33"/>
            <w:noWrap/>
            <w:vAlign w:val="bottom"/>
            <w:hideMark/>
          </w:tcPr>
          <w:p w:rsidR="00700553" w:rsidRPr="00BC2B8D" w:rsidRDefault="00700553" w:rsidP="00526818">
            <w:pPr>
              <w:spacing w:after="0" w:line="240" w:lineRule="auto"/>
              <w:jc w:val="both"/>
              <w:rPr>
                <w:rFonts w:ascii="Times New Roman" w:eastAsia="Calibri" w:hAnsi="Times New Roman" w:cs="Times New Roman"/>
                <w:sz w:val="20"/>
                <w:szCs w:val="20"/>
                <w:lang w:eastAsia="es-GT"/>
              </w:rPr>
            </w:pPr>
            <w:r w:rsidRPr="00BC2B8D">
              <w:rPr>
                <w:rFonts w:ascii="Times New Roman" w:eastAsia="Calibri" w:hAnsi="Times New Roman" w:cs="Times New Roman"/>
                <w:sz w:val="20"/>
                <w:szCs w:val="20"/>
                <w:lang w:eastAsia="es-GT"/>
              </w:rPr>
              <w:t>Nivel de cumplimiento</w:t>
            </w:r>
          </w:p>
        </w:tc>
      </w:tr>
    </w:tbl>
    <w:p w:rsidR="00700553" w:rsidRPr="000D41A1" w:rsidRDefault="00700553" w:rsidP="00700553">
      <w:pPr>
        <w:spacing w:after="0" w:line="240" w:lineRule="auto"/>
        <w:jc w:val="both"/>
        <w:rPr>
          <w:rFonts w:ascii="Times New Roman" w:eastAsia="Calibri" w:hAnsi="Times New Roman" w:cs="Times New Roman"/>
          <w:sz w:val="24"/>
          <w:szCs w:val="24"/>
        </w:rPr>
      </w:pPr>
    </w:p>
    <w:p w:rsidR="00700553" w:rsidRPr="000D41A1" w:rsidRDefault="00700553" w:rsidP="00700553">
      <w:pPr>
        <w:spacing w:after="0" w:line="240" w:lineRule="auto"/>
        <w:jc w:val="both"/>
        <w:rPr>
          <w:rFonts w:ascii="Times New Roman" w:eastAsia="Calibri" w:hAnsi="Times New Roman" w:cs="Times New Roman"/>
          <w:sz w:val="24"/>
          <w:szCs w:val="24"/>
        </w:rPr>
      </w:pPr>
      <w:r w:rsidRPr="000D41A1">
        <w:rPr>
          <w:rFonts w:ascii="Times New Roman" w:eastAsia="Calibri" w:hAnsi="Times New Roman" w:cs="Times New Roman"/>
          <w:sz w:val="24"/>
          <w:szCs w:val="24"/>
        </w:rPr>
        <w:lastRenderedPageBreak/>
        <w:t xml:space="preserve">Esta operación </w:t>
      </w:r>
      <w:r w:rsidRPr="000D41A1">
        <w:rPr>
          <w:rFonts w:ascii="Times New Roman" w:eastAsia="Calibri" w:hAnsi="Times New Roman" w:cs="Times New Roman"/>
          <w:b/>
          <w:sz w:val="24"/>
          <w:szCs w:val="24"/>
        </w:rPr>
        <w:t>da como resultado el Nivel de Cumplimiento (NC) del Sujeto Obligado</w:t>
      </w:r>
      <w:r w:rsidRPr="000D41A1">
        <w:rPr>
          <w:rFonts w:ascii="Times New Roman" w:eastAsia="Calibri" w:hAnsi="Times New Roman" w:cs="Times New Roman"/>
          <w:sz w:val="24"/>
          <w:szCs w:val="24"/>
        </w:rPr>
        <w:t>, en cuanto a la publicación de información de oficio a través de portales electrónicos.</w:t>
      </w:r>
    </w:p>
    <w:p w:rsidR="00700553" w:rsidRPr="000D41A1" w:rsidRDefault="00700553" w:rsidP="00700553">
      <w:pPr>
        <w:spacing w:after="0" w:line="240" w:lineRule="auto"/>
        <w:jc w:val="both"/>
        <w:rPr>
          <w:rFonts w:ascii="Times New Roman" w:eastAsia="Calibri" w:hAnsi="Times New Roman" w:cs="Times New Roman"/>
          <w:sz w:val="24"/>
          <w:szCs w:val="24"/>
        </w:rPr>
      </w:pPr>
    </w:p>
    <w:p w:rsidR="00700553" w:rsidRPr="000D41A1" w:rsidRDefault="00700553" w:rsidP="00700553">
      <w:pPr>
        <w:spacing w:after="0" w:line="276" w:lineRule="auto"/>
        <w:jc w:val="both"/>
        <w:rPr>
          <w:rFonts w:ascii="Times New Roman" w:eastAsia="Calibri" w:hAnsi="Times New Roman" w:cs="Times New Roman"/>
          <w:sz w:val="24"/>
          <w:szCs w:val="24"/>
        </w:rPr>
      </w:pPr>
      <w:r w:rsidRPr="000D41A1">
        <w:rPr>
          <w:rFonts w:ascii="Times New Roman" w:eastAsia="Calibri" w:hAnsi="Times New Roman" w:cs="Times New Roman"/>
          <w:sz w:val="24"/>
          <w:szCs w:val="24"/>
        </w:rPr>
        <w:t>La calificación a cada aspecto se puede interpretar como:</w:t>
      </w:r>
    </w:p>
    <w:p w:rsidR="00700553" w:rsidRPr="000D41A1" w:rsidRDefault="00700553" w:rsidP="00700553">
      <w:pPr>
        <w:spacing w:after="0" w:line="240" w:lineRule="auto"/>
        <w:jc w:val="center"/>
        <w:rPr>
          <w:rFonts w:ascii="Times New Roman" w:eastAsia="Calibri" w:hAnsi="Times New Roman" w:cs="Times New Roman"/>
          <w:sz w:val="24"/>
          <w:szCs w:val="24"/>
        </w:rPr>
      </w:pPr>
    </w:p>
    <w:tbl>
      <w:tblPr>
        <w:tblW w:w="5127" w:type="dxa"/>
        <w:jc w:val="center"/>
        <w:shd w:val="clear" w:color="auto" w:fill="DEEAF6" w:themeFill="accent1" w:themeFillTint="33"/>
        <w:tblCellMar>
          <w:left w:w="70" w:type="dxa"/>
          <w:right w:w="70" w:type="dxa"/>
        </w:tblCellMar>
        <w:tblLook w:val="04A0" w:firstRow="1" w:lastRow="0" w:firstColumn="1" w:lastColumn="0" w:noHBand="0" w:noVBand="1"/>
      </w:tblPr>
      <w:tblGrid>
        <w:gridCol w:w="807"/>
        <w:gridCol w:w="460"/>
        <w:gridCol w:w="280"/>
        <w:gridCol w:w="3580"/>
      </w:tblGrid>
      <w:tr w:rsidR="00700553" w:rsidRPr="000D41A1" w:rsidTr="00526818">
        <w:trPr>
          <w:trHeight w:val="255"/>
          <w:jc w:val="center"/>
        </w:trPr>
        <w:tc>
          <w:tcPr>
            <w:tcW w:w="807" w:type="dxa"/>
            <w:vMerge w:val="restart"/>
            <w:tcBorders>
              <w:top w:val="single" w:sz="4" w:space="0" w:color="auto"/>
              <w:left w:val="single" w:sz="4" w:space="0" w:color="auto"/>
              <w:bottom w:val="nil"/>
              <w:right w:val="nil"/>
            </w:tcBorders>
            <w:shd w:val="clear" w:color="auto" w:fill="DEEAF6" w:themeFill="accent1" w:themeFillTint="33"/>
            <w:noWrap/>
            <w:vAlign w:val="center"/>
            <w:hideMark/>
          </w:tcPr>
          <w:p w:rsidR="00700553" w:rsidRPr="000D41A1" w:rsidRDefault="00700553" w:rsidP="00526818">
            <w:pPr>
              <w:spacing w:after="0" w:line="240" w:lineRule="auto"/>
              <w:jc w:val="center"/>
              <w:rPr>
                <w:rFonts w:ascii="Times New Roman" w:eastAsia="Calibri" w:hAnsi="Times New Roman" w:cs="Times New Roman"/>
                <w:bCs/>
                <w:sz w:val="20"/>
                <w:szCs w:val="20"/>
                <w:lang w:eastAsia="es-GT"/>
              </w:rPr>
            </w:pPr>
          </w:p>
        </w:tc>
        <w:tc>
          <w:tcPr>
            <w:tcW w:w="460" w:type="dxa"/>
            <w:tcBorders>
              <w:top w:val="single" w:sz="4" w:space="0" w:color="auto"/>
              <w:left w:val="nil"/>
              <w:bottom w:val="nil"/>
              <w:right w:val="nil"/>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bCs/>
                <w:sz w:val="20"/>
                <w:szCs w:val="20"/>
                <w:lang w:eastAsia="es-GT"/>
              </w:rPr>
            </w:pPr>
            <w:r w:rsidRPr="000D41A1">
              <w:rPr>
                <w:rFonts w:ascii="Times New Roman" w:eastAsia="Calibri" w:hAnsi="Times New Roman" w:cs="Times New Roman"/>
                <w:bCs/>
                <w:sz w:val="20"/>
                <w:szCs w:val="20"/>
                <w:lang w:eastAsia="es-GT"/>
              </w:rPr>
              <w:t>SI</w:t>
            </w:r>
          </w:p>
        </w:tc>
        <w:tc>
          <w:tcPr>
            <w:tcW w:w="280" w:type="dxa"/>
            <w:tcBorders>
              <w:top w:val="single" w:sz="4" w:space="0" w:color="auto"/>
              <w:left w:val="nil"/>
              <w:bottom w:val="nil"/>
              <w:right w:val="nil"/>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sz w:val="20"/>
                <w:szCs w:val="20"/>
                <w:lang w:eastAsia="es-GT"/>
              </w:rPr>
            </w:pPr>
            <w:r w:rsidRPr="000D41A1">
              <w:rPr>
                <w:rFonts w:ascii="Times New Roman" w:eastAsia="Calibri" w:hAnsi="Times New Roman" w:cs="Times New Roman"/>
                <w:sz w:val="20"/>
                <w:szCs w:val="20"/>
                <w:lang w:eastAsia="es-GT"/>
              </w:rPr>
              <w:t>=</w:t>
            </w:r>
          </w:p>
        </w:tc>
        <w:tc>
          <w:tcPr>
            <w:tcW w:w="3580" w:type="dxa"/>
            <w:tcBorders>
              <w:top w:val="single" w:sz="4" w:space="0" w:color="auto"/>
              <w:left w:val="nil"/>
              <w:bottom w:val="nil"/>
              <w:right w:val="single" w:sz="4" w:space="0" w:color="auto"/>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sz w:val="20"/>
                <w:szCs w:val="20"/>
                <w:lang w:eastAsia="es-GT"/>
              </w:rPr>
            </w:pPr>
            <w:r w:rsidRPr="000D41A1">
              <w:rPr>
                <w:rFonts w:ascii="Times New Roman" w:eastAsia="Calibri" w:hAnsi="Times New Roman" w:cs="Times New Roman"/>
                <w:sz w:val="20"/>
                <w:szCs w:val="20"/>
                <w:lang w:eastAsia="es-GT"/>
              </w:rPr>
              <w:t>1 Punto</w:t>
            </w:r>
          </w:p>
        </w:tc>
      </w:tr>
      <w:tr w:rsidR="00700553" w:rsidRPr="000D41A1" w:rsidTr="00526818">
        <w:trPr>
          <w:trHeight w:val="255"/>
          <w:jc w:val="center"/>
        </w:trPr>
        <w:tc>
          <w:tcPr>
            <w:tcW w:w="807" w:type="dxa"/>
            <w:vMerge/>
            <w:tcBorders>
              <w:top w:val="single" w:sz="4" w:space="0" w:color="auto"/>
              <w:left w:val="single" w:sz="4" w:space="0" w:color="auto"/>
              <w:bottom w:val="nil"/>
              <w:right w:val="nil"/>
            </w:tcBorders>
            <w:shd w:val="clear" w:color="auto" w:fill="DEEAF6" w:themeFill="accent1" w:themeFillTint="33"/>
            <w:vAlign w:val="center"/>
            <w:hideMark/>
          </w:tcPr>
          <w:p w:rsidR="00700553" w:rsidRPr="000D41A1" w:rsidRDefault="00700553" w:rsidP="00526818">
            <w:pPr>
              <w:spacing w:after="0" w:line="240" w:lineRule="auto"/>
              <w:jc w:val="center"/>
              <w:rPr>
                <w:rFonts w:ascii="Times New Roman" w:eastAsia="Calibri" w:hAnsi="Times New Roman" w:cs="Times New Roman"/>
                <w:bCs/>
                <w:sz w:val="20"/>
                <w:szCs w:val="20"/>
                <w:lang w:eastAsia="es-GT"/>
              </w:rPr>
            </w:pPr>
          </w:p>
        </w:tc>
        <w:tc>
          <w:tcPr>
            <w:tcW w:w="460" w:type="dxa"/>
            <w:tcBorders>
              <w:top w:val="nil"/>
              <w:left w:val="nil"/>
              <w:bottom w:val="nil"/>
              <w:right w:val="nil"/>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bCs/>
                <w:sz w:val="20"/>
                <w:szCs w:val="20"/>
                <w:lang w:eastAsia="es-GT"/>
              </w:rPr>
            </w:pPr>
            <w:r w:rsidRPr="000D41A1">
              <w:rPr>
                <w:rFonts w:ascii="Times New Roman" w:eastAsia="Calibri" w:hAnsi="Times New Roman" w:cs="Times New Roman"/>
                <w:bCs/>
                <w:sz w:val="20"/>
                <w:szCs w:val="20"/>
                <w:lang w:eastAsia="es-GT"/>
              </w:rPr>
              <w:t>NO</w:t>
            </w:r>
          </w:p>
        </w:tc>
        <w:tc>
          <w:tcPr>
            <w:tcW w:w="280" w:type="dxa"/>
            <w:tcBorders>
              <w:top w:val="nil"/>
              <w:left w:val="nil"/>
              <w:bottom w:val="nil"/>
              <w:right w:val="nil"/>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sz w:val="20"/>
                <w:szCs w:val="20"/>
                <w:lang w:eastAsia="es-GT"/>
              </w:rPr>
            </w:pPr>
            <w:r w:rsidRPr="000D41A1">
              <w:rPr>
                <w:rFonts w:ascii="Times New Roman" w:eastAsia="Calibri" w:hAnsi="Times New Roman" w:cs="Times New Roman"/>
                <w:sz w:val="20"/>
                <w:szCs w:val="20"/>
                <w:lang w:eastAsia="es-GT"/>
              </w:rPr>
              <w:t>=</w:t>
            </w:r>
          </w:p>
        </w:tc>
        <w:tc>
          <w:tcPr>
            <w:tcW w:w="3580" w:type="dxa"/>
            <w:tcBorders>
              <w:top w:val="nil"/>
              <w:left w:val="nil"/>
              <w:bottom w:val="nil"/>
              <w:right w:val="single" w:sz="4" w:space="0" w:color="auto"/>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sz w:val="20"/>
                <w:szCs w:val="20"/>
                <w:lang w:eastAsia="es-GT"/>
              </w:rPr>
            </w:pPr>
            <w:r w:rsidRPr="000D41A1">
              <w:rPr>
                <w:rFonts w:ascii="Times New Roman" w:eastAsia="Calibri" w:hAnsi="Times New Roman" w:cs="Times New Roman"/>
                <w:sz w:val="20"/>
                <w:szCs w:val="20"/>
                <w:lang w:eastAsia="es-GT"/>
              </w:rPr>
              <w:t>0 puntos</w:t>
            </w:r>
          </w:p>
        </w:tc>
      </w:tr>
      <w:tr w:rsidR="00700553" w:rsidRPr="000D41A1" w:rsidTr="00526818">
        <w:trPr>
          <w:trHeight w:val="255"/>
          <w:jc w:val="center"/>
        </w:trPr>
        <w:tc>
          <w:tcPr>
            <w:tcW w:w="1267" w:type="dxa"/>
            <w:gridSpan w:val="2"/>
            <w:tcBorders>
              <w:top w:val="nil"/>
              <w:left w:val="single" w:sz="4" w:space="0" w:color="auto"/>
              <w:bottom w:val="nil"/>
              <w:right w:val="nil"/>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bCs/>
                <w:sz w:val="20"/>
                <w:szCs w:val="20"/>
                <w:lang w:eastAsia="es-GT"/>
              </w:rPr>
            </w:pPr>
            <w:r w:rsidRPr="000D41A1">
              <w:rPr>
                <w:rFonts w:ascii="Times New Roman" w:eastAsia="Calibri" w:hAnsi="Times New Roman" w:cs="Times New Roman"/>
                <w:bCs/>
                <w:sz w:val="20"/>
                <w:szCs w:val="20"/>
                <w:lang w:eastAsia="es-GT"/>
              </w:rPr>
              <w:t>PARCIAL</w:t>
            </w:r>
          </w:p>
        </w:tc>
        <w:tc>
          <w:tcPr>
            <w:tcW w:w="280" w:type="dxa"/>
            <w:tcBorders>
              <w:top w:val="nil"/>
              <w:left w:val="nil"/>
              <w:bottom w:val="nil"/>
              <w:right w:val="nil"/>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sz w:val="20"/>
                <w:szCs w:val="20"/>
                <w:lang w:eastAsia="es-GT"/>
              </w:rPr>
            </w:pPr>
            <w:r w:rsidRPr="000D41A1">
              <w:rPr>
                <w:rFonts w:ascii="Times New Roman" w:eastAsia="Calibri" w:hAnsi="Times New Roman" w:cs="Times New Roman"/>
                <w:sz w:val="20"/>
                <w:szCs w:val="20"/>
                <w:lang w:eastAsia="es-GT"/>
              </w:rPr>
              <w:t>=</w:t>
            </w:r>
          </w:p>
        </w:tc>
        <w:tc>
          <w:tcPr>
            <w:tcW w:w="3580" w:type="dxa"/>
            <w:tcBorders>
              <w:top w:val="nil"/>
              <w:left w:val="nil"/>
              <w:right w:val="single" w:sz="4" w:space="0" w:color="auto"/>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sz w:val="20"/>
                <w:szCs w:val="20"/>
                <w:lang w:eastAsia="es-GT"/>
              </w:rPr>
            </w:pPr>
            <w:r w:rsidRPr="000D41A1">
              <w:rPr>
                <w:rFonts w:ascii="Times New Roman" w:eastAsia="Calibri" w:hAnsi="Times New Roman" w:cs="Times New Roman"/>
                <w:sz w:val="20"/>
                <w:szCs w:val="20"/>
                <w:lang w:eastAsia="es-GT"/>
              </w:rPr>
              <w:t>Medio punto</w:t>
            </w:r>
          </w:p>
        </w:tc>
      </w:tr>
      <w:tr w:rsidR="00700553" w:rsidRPr="000D41A1" w:rsidTr="00526818">
        <w:trPr>
          <w:trHeight w:val="255"/>
          <w:jc w:val="center"/>
        </w:trPr>
        <w:tc>
          <w:tcPr>
            <w:tcW w:w="1267" w:type="dxa"/>
            <w:gridSpan w:val="2"/>
            <w:tcBorders>
              <w:top w:val="nil"/>
              <w:left w:val="single" w:sz="4" w:space="0" w:color="auto"/>
              <w:bottom w:val="single" w:sz="4" w:space="0" w:color="auto"/>
              <w:right w:val="nil"/>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bCs/>
                <w:sz w:val="20"/>
                <w:szCs w:val="20"/>
                <w:lang w:eastAsia="es-GT"/>
              </w:rPr>
            </w:pPr>
            <w:r w:rsidRPr="000D41A1">
              <w:rPr>
                <w:rFonts w:ascii="Times New Roman" w:eastAsia="Calibri" w:hAnsi="Times New Roman" w:cs="Times New Roman"/>
                <w:bCs/>
                <w:sz w:val="20"/>
                <w:szCs w:val="20"/>
                <w:lang w:eastAsia="es-GT"/>
              </w:rPr>
              <w:t>NO APLICA</w:t>
            </w:r>
          </w:p>
        </w:tc>
        <w:tc>
          <w:tcPr>
            <w:tcW w:w="280" w:type="dxa"/>
            <w:tcBorders>
              <w:top w:val="nil"/>
              <w:left w:val="nil"/>
              <w:bottom w:val="single" w:sz="4" w:space="0" w:color="auto"/>
              <w:right w:val="nil"/>
            </w:tcBorders>
            <w:shd w:val="clear" w:color="auto" w:fill="DEEAF6" w:themeFill="accent1" w:themeFillTint="33"/>
            <w:noWrap/>
            <w:vAlign w:val="bottom"/>
            <w:hideMark/>
          </w:tcPr>
          <w:p w:rsidR="00700553" w:rsidRPr="000D41A1" w:rsidRDefault="00700553" w:rsidP="00526818">
            <w:pPr>
              <w:spacing w:after="0" w:line="240" w:lineRule="auto"/>
              <w:jc w:val="center"/>
              <w:rPr>
                <w:rFonts w:ascii="Times New Roman" w:eastAsia="Calibri" w:hAnsi="Times New Roman" w:cs="Times New Roman"/>
                <w:sz w:val="20"/>
                <w:szCs w:val="20"/>
                <w:lang w:eastAsia="es-GT"/>
              </w:rPr>
            </w:pPr>
            <w:r w:rsidRPr="000D41A1">
              <w:rPr>
                <w:rFonts w:ascii="Times New Roman" w:eastAsia="Calibri" w:hAnsi="Times New Roman" w:cs="Times New Roman"/>
                <w:sz w:val="20"/>
                <w:szCs w:val="20"/>
                <w:lang w:eastAsia="es-GT"/>
              </w:rPr>
              <w:t>=</w:t>
            </w:r>
          </w:p>
        </w:tc>
        <w:tc>
          <w:tcPr>
            <w:tcW w:w="3580" w:type="dxa"/>
            <w:tcBorders>
              <w:top w:val="nil"/>
              <w:left w:val="nil"/>
              <w:bottom w:val="single" w:sz="4" w:space="0" w:color="auto"/>
              <w:right w:val="single" w:sz="4" w:space="0" w:color="auto"/>
            </w:tcBorders>
            <w:shd w:val="clear" w:color="auto" w:fill="DEEAF6" w:themeFill="accent1" w:themeFillTint="33"/>
            <w:hideMark/>
          </w:tcPr>
          <w:p w:rsidR="00700553" w:rsidRPr="000D41A1" w:rsidRDefault="00700553" w:rsidP="00526818">
            <w:pPr>
              <w:spacing w:after="0" w:line="240" w:lineRule="auto"/>
              <w:jc w:val="center"/>
              <w:rPr>
                <w:rFonts w:ascii="Times New Roman" w:eastAsia="Calibri" w:hAnsi="Times New Roman" w:cs="Times New Roman"/>
                <w:sz w:val="20"/>
                <w:szCs w:val="20"/>
                <w:lang w:eastAsia="es-GT"/>
              </w:rPr>
            </w:pPr>
            <w:r w:rsidRPr="000D41A1">
              <w:rPr>
                <w:rFonts w:ascii="Times New Roman" w:eastAsia="Calibri" w:hAnsi="Times New Roman" w:cs="Times New Roman"/>
                <w:sz w:val="20"/>
                <w:szCs w:val="20"/>
                <w:lang w:eastAsia="es-GT"/>
              </w:rPr>
              <w:t>Se exime de los elemento a evaluar cuando se encuentre justificado.</w:t>
            </w:r>
          </w:p>
        </w:tc>
      </w:tr>
    </w:tbl>
    <w:p w:rsidR="00700553" w:rsidRPr="000D41A1" w:rsidRDefault="00700553" w:rsidP="00700553">
      <w:pPr>
        <w:spacing w:after="0" w:line="240" w:lineRule="auto"/>
        <w:rPr>
          <w:rFonts w:ascii="Times New Roman" w:eastAsia="Calibri" w:hAnsi="Times New Roman" w:cs="Times New Roman"/>
          <w:sz w:val="24"/>
          <w:szCs w:val="24"/>
        </w:rPr>
      </w:pPr>
    </w:p>
    <w:p w:rsidR="00700553" w:rsidRPr="000D41A1" w:rsidRDefault="00700553" w:rsidP="00700553">
      <w:pPr>
        <w:spacing w:after="200" w:line="276" w:lineRule="auto"/>
        <w:jc w:val="both"/>
        <w:rPr>
          <w:rFonts w:ascii="Times New Roman" w:eastAsia="Calibri" w:hAnsi="Times New Roman" w:cs="Times New Roman"/>
          <w:sz w:val="24"/>
          <w:szCs w:val="24"/>
        </w:rPr>
      </w:pPr>
      <w:bookmarkStart w:id="48" w:name="_Toc535594153"/>
      <w:r w:rsidRPr="000D41A1">
        <w:rPr>
          <w:rFonts w:ascii="Times New Roman" w:eastAsia="Calibri" w:hAnsi="Times New Roman" w:cs="Times New Roman"/>
          <w:b/>
          <w:sz w:val="24"/>
          <w:szCs w:val="24"/>
        </w:rPr>
        <w:t>Rango de cumplimiento (NC)</w:t>
      </w:r>
      <w:r w:rsidRPr="000D41A1">
        <w:rPr>
          <w:rFonts w:ascii="Times New Roman" w:eastAsia="Calibri" w:hAnsi="Times New Roman" w:cs="Times New Roman"/>
          <w:sz w:val="24"/>
          <w:szCs w:val="24"/>
        </w:rPr>
        <w:t>:</w:t>
      </w:r>
      <w:bookmarkEnd w:id="48"/>
    </w:p>
    <w:p w:rsidR="00700553" w:rsidRPr="000D41A1" w:rsidRDefault="00700553" w:rsidP="00700553">
      <w:pPr>
        <w:spacing w:after="0" w:line="276" w:lineRule="auto"/>
        <w:jc w:val="both"/>
        <w:rPr>
          <w:rFonts w:ascii="Times New Roman" w:eastAsia="Calibri" w:hAnsi="Times New Roman" w:cs="Times New Roman"/>
          <w:sz w:val="24"/>
          <w:szCs w:val="24"/>
        </w:rPr>
      </w:pPr>
      <w:r w:rsidRPr="000D41A1">
        <w:rPr>
          <w:rFonts w:ascii="Times New Roman" w:eastAsia="Calibri" w:hAnsi="Times New Roman" w:cs="Times New Roman"/>
          <w:sz w:val="24"/>
          <w:szCs w:val="24"/>
        </w:rPr>
        <w:t>Para determinar el nivel de cumplimiento del sujeto obligado supervisado se toma en cuenta la modalidad de semáforo, asignando para esto los siguientes rangos:</w:t>
      </w:r>
    </w:p>
    <w:p w:rsidR="00700553" w:rsidRPr="000D41A1" w:rsidRDefault="00700553" w:rsidP="00700553">
      <w:pPr>
        <w:spacing w:after="0" w:line="276" w:lineRule="auto"/>
        <w:jc w:val="both"/>
        <w:rPr>
          <w:rFonts w:ascii="Times New Roman" w:eastAsia="Calibri" w:hAnsi="Times New Roman" w:cs="Times New Roman"/>
          <w:sz w:val="24"/>
          <w:szCs w:val="24"/>
        </w:rPr>
      </w:pPr>
    </w:p>
    <w:tbl>
      <w:tblPr>
        <w:tblW w:w="5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5"/>
        <w:gridCol w:w="1785"/>
        <w:gridCol w:w="2028"/>
      </w:tblGrid>
      <w:tr w:rsidR="00700553" w:rsidRPr="000D41A1" w:rsidTr="00526818">
        <w:trPr>
          <w:trHeight w:val="645"/>
          <w:jc w:val="center"/>
        </w:trPr>
        <w:tc>
          <w:tcPr>
            <w:tcW w:w="1552" w:type="dxa"/>
            <w:shd w:val="clear" w:color="auto" w:fill="DEEAF6" w:themeFill="accent1" w:themeFillTint="33"/>
            <w:vAlign w:val="center"/>
          </w:tcPr>
          <w:p w:rsidR="00700553" w:rsidRPr="000D41A1" w:rsidRDefault="00700553" w:rsidP="00526818">
            <w:pPr>
              <w:spacing w:after="200" w:line="276" w:lineRule="auto"/>
              <w:jc w:val="center"/>
              <w:rPr>
                <w:rFonts w:ascii="Times New Roman" w:eastAsia="Calibri" w:hAnsi="Times New Roman" w:cs="Times New Roman"/>
                <w:b/>
                <w:bCs/>
                <w:sz w:val="20"/>
                <w:szCs w:val="20"/>
                <w:lang w:val="es-ES" w:eastAsia="es-ES"/>
              </w:rPr>
            </w:pPr>
            <w:r w:rsidRPr="000D41A1">
              <w:rPr>
                <w:rFonts w:ascii="Times New Roman" w:eastAsia="Calibri" w:hAnsi="Times New Roman" w:cs="Times New Roman"/>
                <w:b/>
                <w:bCs/>
                <w:sz w:val="20"/>
                <w:szCs w:val="20"/>
                <w:lang w:val="es-ES" w:eastAsia="es-ES"/>
              </w:rPr>
              <w:t xml:space="preserve">NIVEL DE </w:t>
            </w:r>
            <w:r w:rsidRPr="000D41A1">
              <w:rPr>
                <w:rFonts w:ascii="Times New Roman" w:eastAsia="Calibri" w:hAnsi="Times New Roman" w:cs="Times New Roman"/>
                <w:b/>
                <w:bCs/>
                <w:sz w:val="20"/>
                <w:szCs w:val="20"/>
                <w:lang w:val="es-ES" w:eastAsia="es-ES"/>
              </w:rPr>
              <w:br/>
              <w:t>CUMPLIMIENTO</w:t>
            </w:r>
          </w:p>
        </w:tc>
        <w:tc>
          <w:tcPr>
            <w:tcW w:w="1581" w:type="dxa"/>
            <w:shd w:val="clear" w:color="auto" w:fill="DEEAF6" w:themeFill="accent1" w:themeFillTint="33"/>
            <w:vAlign w:val="center"/>
          </w:tcPr>
          <w:p w:rsidR="00700553" w:rsidRPr="000D41A1" w:rsidRDefault="00700553" w:rsidP="00526818">
            <w:pPr>
              <w:spacing w:after="200" w:line="276" w:lineRule="auto"/>
              <w:jc w:val="center"/>
              <w:rPr>
                <w:rFonts w:ascii="Times New Roman" w:eastAsia="Calibri" w:hAnsi="Times New Roman" w:cs="Times New Roman"/>
                <w:b/>
                <w:bCs/>
                <w:sz w:val="20"/>
                <w:szCs w:val="20"/>
                <w:lang w:val="es-ES" w:eastAsia="es-ES"/>
              </w:rPr>
            </w:pPr>
            <w:r w:rsidRPr="000D41A1">
              <w:rPr>
                <w:rFonts w:ascii="Times New Roman" w:eastAsia="Calibri" w:hAnsi="Times New Roman" w:cs="Times New Roman"/>
                <w:b/>
                <w:bCs/>
                <w:sz w:val="20"/>
                <w:szCs w:val="20"/>
                <w:lang w:val="es-ES" w:eastAsia="es-ES"/>
              </w:rPr>
              <w:t xml:space="preserve">RANGO DE </w:t>
            </w:r>
            <w:r w:rsidRPr="000D41A1">
              <w:rPr>
                <w:rFonts w:ascii="Times New Roman" w:eastAsia="Calibri" w:hAnsi="Times New Roman" w:cs="Times New Roman"/>
                <w:b/>
                <w:bCs/>
                <w:sz w:val="20"/>
                <w:szCs w:val="20"/>
                <w:lang w:val="es-ES" w:eastAsia="es-ES"/>
              </w:rPr>
              <w:br/>
              <w:t>CUMPLIMIENTO</w:t>
            </w:r>
          </w:p>
        </w:tc>
        <w:tc>
          <w:tcPr>
            <w:tcW w:w="2028" w:type="dxa"/>
            <w:shd w:val="clear" w:color="auto" w:fill="DEEAF6" w:themeFill="accent1" w:themeFillTint="33"/>
            <w:vAlign w:val="center"/>
          </w:tcPr>
          <w:p w:rsidR="00700553" w:rsidRPr="000D41A1" w:rsidRDefault="00700553" w:rsidP="00526818">
            <w:pPr>
              <w:spacing w:after="200" w:line="276" w:lineRule="auto"/>
              <w:jc w:val="center"/>
              <w:rPr>
                <w:rFonts w:ascii="Times New Roman" w:eastAsia="Calibri" w:hAnsi="Times New Roman" w:cs="Times New Roman"/>
                <w:b/>
                <w:bCs/>
                <w:sz w:val="20"/>
                <w:szCs w:val="20"/>
                <w:lang w:val="es-ES" w:eastAsia="es-ES"/>
              </w:rPr>
            </w:pPr>
            <w:r w:rsidRPr="000D41A1">
              <w:rPr>
                <w:rFonts w:ascii="Times New Roman" w:eastAsia="Calibri" w:hAnsi="Times New Roman" w:cs="Times New Roman"/>
                <w:b/>
                <w:bCs/>
                <w:sz w:val="20"/>
                <w:szCs w:val="20"/>
                <w:lang w:val="es-ES" w:eastAsia="es-ES"/>
              </w:rPr>
              <w:t>MODALIDAD</w:t>
            </w:r>
            <w:r w:rsidRPr="000D41A1">
              <w:rPr>
                <w:rFonts w:ascii="Times New Roman" w:eastAsia="Calibri" w:hAnsi="Times New Roman" w:cs="Times New Roman"/>
                <w:b/>
                <w:bCs/>
                <w:sz w:val="20"/>
                <w:szCs w:val="20"/>
                <w:lang w:val="es-ES" w:eastAsia="es-ES"/>
              </w:rPr>
              <w:br/>
              <w:t>DE SEMÁFORO</w:t>
            </w:r>
          </w:p>
        </w:tc>
      </w:tr>
      <w:tr w:rsidR="00700553" w:rsidRPr="000D41A1" w:rsidTr="00526818">
        <w:trPr>
          <w:trHeight w:val="332"/>
          <w:jc w:val="center"/>
        </w:trPr>
        <w:tc>
          <w:tcPr>
            <w:tcW w:w="1552" w:type="dxa"/>
            <w:shd w:val="clear" w:color="auto" w:fill="auto"/>
            <w:noWrap/>
            <w:vAlign w:val="center"/>
          </w:tcPr>
          <w:p w:rsidR="00700553" w:rsidRPr="000D41A1" w:rsidRDefault="00700553" w:rsidP="00526818">
            <w:pPr>
              <w:spacing w:after="200" w:line="276" w:lineRule="auto"/>
              <w:jc w:val="center"/>
              <w:rPr>
                <w:rFonts w:ascii="Times New Roman" w:eastAsia="Calibri" w:hAnsi="Times New Roman" w:cs="Times New Roman"/>
                <w:b/>
                <w:sz w:val="20"/>
                <w:szCs w:val="20"/>
                <w:lang w:val="es-ES" w:eastAsia="es-ES"/>
              </w:rPr>
            </w:pPr>
            <w:r w:rsidRPr="000D41A1">
              <w:rPr>
                <w:rFonts w:ascii="Times New Roman" w:eastAsia="Calibri" w:hAnsi="Times New Roman" w:cs="Times New Roman"/>
                <w:b/>
                <w:sz w:val="20"/>
                <w:szCs w:val="20"/>
                <w:lang w:val="es-ES" w:eastAsia="es-ES"/>
              </w:rPr>
              <w:t>Aceptable</w:t>
            </w:r>
          </w:p>
        </w:tc>
        <w:tc>
          <w:tcPr>
            <w:tcW w:w="1581" w:type="dxa"/>
            <w:shd w:val="clear" w:color="auto" w:fill="auto"/>
            <w:noWrap/>
            <w:vAlign w:val="center"/>
          </w:tcPr>
          <w:p w:rsidR="00700553" w:rsidRPr="000D41A1" w:rsidRDefault="00700553" w:rsidP="00526818">
            <w:pPr>
              <w:spacing w:after="200" w:line="276" w:lineRule="auto"/>
              <w:jc w:val="center"/>
              <w:rPr>
                <w:rFonts w:ascii="Times New Roman" w:eastAsia="Calibri" w:hAnsi="Times New Roman" w:cs="Times New Roman"/>
                <w:sz w:val="20"/>
                <w:szCs w:val="20"/>
                <w:lang w:val="es-ES" w:eastAsia="es-ES"/>
              </w:rPr>
            </w:pPr>
            <w:r w:rsidRPr="000D41A1">
              <w:rPr>
                <w:rFonts w:ascii="Times New Roman" w:eastAsia="Calibri" w:hAnsi="Times New Roman" w:cs="Times New Roman"/>
                <w:sz w:val="20"/>
                <w:szCs w:val="20"/>
                <w:lang w:val="es-ES" w:eastAsia="es-ES"/>
              </w:rPr>
              <w:t>85.00 - 100.00</w:t>
            </w:r>
          </w:p>
        </w:tc>
        <w:tc>
          <w:tcPr>
            <w:tcW w:w="2028" w:type="dxa"/>
            <w:shd w:val="clear" w:color="auto" w:fill="33CC33"/>
            <w:noWrap/>
            <w:vAlign w:val="center"/>
          </w:tcPr>
          <w:p w:rsidR="00700553" w:rsidRPr="000D41A1" w:rsidRDefault="00700553" w:rsidP="00526818">
            <w:pPr>
              <w:spacing w:after="200" w:line="276" w:lineRule="auto"/>
              <w:jc w:val="center"/>
              <w:rPr>
                <w:rFonts w:ascii="Times New Roman" w:eastAsia="Calibri" w:hAnsi="Times New Roman" w:cs="Times New Roman"/>
                <w:sz w:val="20"/>
                <w:szCs w:val="20"/>
                <w:lang w:val="es-ES" w:eastAsia="es-ES"/>
              </w:rPr>
            </w:pPr>
            <w:r w:rsidRPr="000D41A1">
              <w:rPr>
                <w:rFonts w:ascii="Times New Roman" w:eastAsia="Calibri" w:hAnsi="Times New Roman" w:cs="Times New Roman"/>
                <w:sz w:val="20"/>
                <w:szCs w:val="20"/>
                <w:lang w:val="es-ES" w:eastAsia="es-ES"/>
              </w:rPr>
              <w:t>VERDE</w:t>
            </w:r>
          </w:p>
        </w:tc>
      </w:tr>
      <w:tr w:rsidR="00700553" w:rsidRPr="000D41A1" w:rsidTr="00526818">
        <w:trPr>
          <w:trHeight w:val="332"/>
          <w:jc w:val="center"/>
        </w:trPr>
        <w:tc>
          <w:tcPr>
            <w:tcW w:w="1552" w:type="dxa"/>
            <w:shd w:val="clear" w:color="auto" w:fill="auto"/>
            <w:noWrap/>
            <w:vAlign w:val="center"/>
          </w:tcPr>
          <w:p w:rsidR="00700553" w:rsidRPr="000D41A1" w:rsidRDefault="00700553" w:rsidP="00526818">
            <w:pPr>
              <w:spacing w:after="200" w:line="276" w:lineRule="auto"/>
              <w:jc w:val="center"/>
              <w:rPr>
                <w:rFonts w:ascii="Times New Roman" w:eastAsia="Calibri" w:hAnsi="Times New Roman" w:cs="Times New Roman"/>
                <w:b/>
                <w:sz w:val="20"/>
                <w:szCs w:val="20"/>
                <w:lang w:val="es-ES" w:eastAsia="es-ES"/>
              </w:rPr>
            </w:pPr>
            <w:r w:rsidRPr="000D41A1">
              <w:rPr>
                <w:rFonts w:ascii="Times New Roman" w:eastAsia="Calibri" w:hAnsi="Times New Roman" w:cs="Times New Roman"/>
                <w:b/>
                <w:sz w:val="20"/>
                <w:szCs w:val="20"/>
                <w:lang w:val="es-ES" w:eastAsia="es-ES"/>
              </w:rPr>
              <w:t>Bajo</w:t>
            </w:r>
          </w:p>
        </w:tc>
        <w:tc>
          <w:tcPr>
            <w:tcW w:w="1581" w:type="dxa"/>
            <w:shd w:val="clear" w:color="auto" w:fill="auto"/>
            <w:noWrap/>
            <w:vAlign w:val="center"/>
          </w:tcPr>
          <w:p w:rsidR="00700553" w:rsidRPr="000D41A1" w:rsidRDefault="00700553" w:rsidP="00526818">
            <w:pPr>
              <w:spacing w:after="200" w:line="276" w:lineRule="auto"/>
              <w:jc w:val="center"/>
              <w:rPr>
                <w:rFonts w:ascii="Times New Roman" w:eastAsia="Calibri" w:hAnsi="Times New Roman" w:cs="Times New Roman"/>
                <w:sz w:val="20"/>
                <w:szCs w:val="20"/>
                <w:lang w:val="es-ES" w:eastAsia="es-ES"/>
              </w:rPr>
            </w:pPr>
            <w:r w:rsidRPr="000D41A1">
              <w:rPr>
                <w:rFonts w:ascii="Times New Roman" w:eastAsia="Calibri" w:hAnsi="Times New Roman" w:cs="Times New Roman"/>
                <w:sz w:val="20"/>
                <w:szCs w:val="20"/>
                <w:lang w:val="es-ES" w:eastAsia="es-ES"/>
              </w:rPr>
              <w:t>60.00 - 84.99</w:t>
            </w:r>
          </w:p>
        </w:tc>
        <w:tc>
          <w:tcPr>
            <w:tcW w:w="2028" w:type="dxa"/>
            <w:shd w:val="clear" w:color="auto" w:fill="FFFF00"/>
            <w:noWrap/>
            <w:vAlign w:val="center"/>
          </w:tcPr>
          <w:p w:rsidR="00700553" w:rsidRPr="000D41A1" w:rsidRDefault="00700553" w:rsidP="00526818">
            <w:pPr>
              <w:spacing w:after="200" w:line="276" w:lineRule="auto"/>
              <w:jc w:val="center"/>
              <w:rPr>
                <w:rFonts w:ascii="Times New Roman" w:eastAsia="Calibri" w:hAnsi="Times New Roman" w:cs="Times New Roman"/>
                <w:sz w:val="20"/>
                <w:szCs w:val="20"/>
                <w:lang w:val="es-ES" w:eastAsia="es-ES"/>
              </w:rPr>
            </w:pPr>
            <w:r w:rsidRPr="000D41A1">
              <w:rPr>
                <w:rFonts w:ascii="Times New Roman" w:eastAsia="Calibri" w:hAnsi="Times New Roman" w:cs="Times New Roman"/>
                <w:sz w:val="20"/>
                <w:szCs w:val="20"/>
                <w:lang w:val="es-ES" w:eastAsia="es-ES"/>
              </w:rPr>
              <w:t>AMARILLO</w:t>
            </w:r>
          </w:p>
        </w:tc>
      </w:tr>
      <w:tr w:rsidR="00700553" w:rsidRPr="000D41A1" w:rsidTr="00526818">
        <w:trPr>
          <w:trHeight w:val="332"/>
          <w:jc w:val="center"/>
        </w:trPr>
        <w:tc>
          <w:tcPr>
            <w:tcW w:w="1552" w:type="dxa"/>
            <w:shd w:val="clear" w:color="auto" w:fill="auto"/>
            <w:noWrap/>
            <w:vAlign w:val="center"/>
          </w:tcPr>
          <w:p w:rsidR="00700553" w:rsidRPr="000D41A1" w:rsidRDefault="00700553" w:rsidP="00526818">
            <w:pPr>
              <w:spacing w:after="200" w:line="276" w:lineRule="auto"/>
              <w:jc w:val="center"/>
              <w:rPr>
                <w:rFonts w:ascii="Times New Roman" w:eastAsia="Calibri" w:hAnsi="Times New Roman" w:cs="Times New Roman"/>
                <w:b/>
                <w:sz w:val="20"/>
                <w:szCs w:val="20"/>
                <w:lang w:val="es-ES" w:eastAsia="es-ES"/>
              </w:rPr>
            </w:pPr>
            <w:r w:rsidRPr="000D41A1">
              <w:rPr>
                <w:rFonts w:ascii="Times New Roman" w:eastAsia="Calibri" w:hAnsi="Times New Roman" w:cs="Times New Roman"/>
                <w:b/>
                <w:sz w:val="20"/>
                <w:szCs w:val="20"/>
                <w:lang w:val="es-ES" w:eastAsia="es-ES"/>
              </w:rPr>
              <w:t>Deficiente</w:t>
            </w:r>
          </w:p>
        </w:tc>
        <w:tc>
          <w:tcPr>
            <w:tcW w:w="1581" w:type="dxa"/>
            <w:shd w:val="clear" w:color="auto" w:fill="auto"/>
            <w:noWrap/>
            <w:vAlign w:val="center"/>
          </w:tcPr>
          <w:p w:rsidR="00700553" w:rsidRPr="000D41A1" w:rsidRDefault="00700553" w:rsidP="00526818">
            <w:pPr>
              <w:spacing w:after="200" w:line="276" w:lineRule="auto"/>
              <w:jc w:val="center"/>
              <w:rPr>
                <w:rFonts w:ascii="Times New Roman" w:eastAsia="Calibri" w:hAnsi="Times New Roman" w:cs="Times New Roman"/>
                <w:sz w:val="20"/>
                <w:szCs w:val="20"/>
                <w:lang w:val="es-ES" w:eastAsia="es-ES"/>
              </w:rPr>
            </w:pPr>
            <w:r w:rsidRPr="000D41A1">
              <w:rPr>
                <w:rFonts w:ascii="Times New Roman" w:eastAsia="Calibri" w:hAnsi="Times New Roman" w:cs="Times New Roman"/>
                <w:sz w:val="20"/>
                <w:szCs w:val="20"/>
                <w:lang w:val="es-ES" w:eastAsia="es-ES"/>
              </w:rPr>
              <w:t>0.00 - 59.99</w:t>
            </w:r>
          </w:p>
        </w:tc>
        <w:tc>
          <w:tcPr>
            <w:tcW w:w="2028" w:type="dxa"/>
            <w:shd w:val="clear" w:color="auto" w:fill="FF3300"/>
            <w:noWrap/>
            <w:vAlign w:val="center"/>
          </w:tcPr>
          <w:p w:rsidR="00700553" w:rsidRPr="000D41A1" w:rsidRDefault="00700553" w:rsidP="00526818">
            <w:pPr>
              <w:spacing w:after="200" w:line="276" w:lineRule="auto"/>
              <w:jc w:val="center"/>
              <w:rPr>
                <w:rFonts w:ascii="Times New Roman" w:eastAsia="Calibri" w:hAnsi="Times New Roman" w:cs="Times New Roman"/>
                <w:sz w:val="20"/>
                <w:szCs w:val="20"/>
                <w:lang w:val="es-ES" w:eastAsia="es-ES"/>
              </w:rPr>
            </w:pPr>
            <w:r w:rsidRPr="000D41A1">
              <w:rPr>
                <w:rFonts w:ascii="Times New Roman" w:eastAsia="Calibri" w:hAnsi="Times New Roman" w:cs="Times New Roman"/>
                <w:sz w:val="20"/>
                <w:szCs w:val="20"/>
                <w:lang w:val="es-ES" w:eastAsia="es-ES"/>
              </w:rPr>
              <w:t>ROJO</w:t>
            </w:r>
          </w:p>
        </w:tc>
      </w:tr>
    </w:tbl>
    <w:p w:rsidR="00700553" w:rsidRPr="000D41A1" w:rsidRDefault="00700553" w:rsidP="00700553">
      <w:pPr>
        <w:spacing w:after="200" w:line="276" w:lineRule="auto"/>
        <w:jc w:val="both"/>
        <w:rPr>
          <w:rFonts w:ascii="Times New Roman" w:eastAsia="Calibri" w:hAnsi="Times New Roman" w:cs="Times New Roman"/>
          <w:sz w:val="24"/>
          <w:szCs w:val="24"/>
        </w:rPr>
      </w:pPr>
    </w:p>
    <w:p w:rsidR="00700553" w:rsidRPr="000D41A1" w:rsidRDefault="00700553" w:rsidP="00700553">
      <w:pPr>
        <w:spacing w:after="200" w:line="276" w:lineRule="auto"/>
        <w:jc w:val="both"/>
        <w:rPr>
          <w:rFonts w:ascii="Times New Roman" w:eastAsia="Calibri" w:hAnsi="Times New Roman" w:cs="Times New Roman"/>
          <w:sz w:val="24"/>
          <w:szCs w:val="24"/>
        </w:rPr>
      </w:pPr>
    </w:p>
    <w:p w:rsidR="00700553" w:rsidRPr="000D41A1" w:rsidRDefault="00700553" w:rsidP="00700553">
      <w:pPr>
        <w:spacing w:after="200" w:line="276" w:lineRule="auto"/>
        <w:jc w:val="both"/>
        <w:rPr>
          <w:rFonts w:ascii="Times New Roman" w:eastAsia="Calibri" w:hAnsi="Times New Roman" w:cs="Times New Roman"/>
          <w:sz w:val="24"/>
          <w:szCs w:val="24"/>
        </w:rPr>
      </w:pPr>
    </w:p>
    <w:p w:rsidR="00B921C5" w:rsidRPr="000D41A1" w:rsidRDefault="00B921C5" w:rsidP="00B921C5">
      <w:pPr>
        <w:rPr>
          <w:rFonts w:ascii="Times New Roman" w:hAnsi="Times New Roman" w:cs="Times New Roman"/>
          <w:sz w:val="24"/>
          <w:szCs w:val="24"/>
        </w:rPr>
      </w:pPr>
    </w:p>
    <w:p w:rsidR="00C83DB3" w:rsidRPr="000D41A1" w:rsidRDefault="00C83DB3" w:rsidP="00B921C5">
      <w:pPr>
        <w:rPr>
          <w:rFonts w:ascii="Times New Roman" w:hAnsi="Times New Roman" w:cs="Times New Roman"/>
          <w:sz w:val="24"/>
          <w:szCs w:val="24"/>
        </w:rPr>
      </w:pPr>
    </w:p>
    <w:p w:rsidR="00C83DB3" w:rsidRDefault="00C83DB3" w:rsidP="00B921C5">
      <w:pPr>
        <w:rPr>
          <w:rFonts w:ascii="Times New Roman" w:hAnsi="Times New Roman" w:cs="Times New Roman"/>
          <w:sz w:val="24"/>
          <w:szCs w:val="24"/>
        </w:rPr>
      </w:pPr>
    </w:p>
    <w:p w:rsidR="00415075" w:rsidRDefault="00415075" w:rsidP="00B921C5">
      <w:pPr>
        <w:rPr>
          <w:rFonts w:ascii="Times New Roman" w:hAnsi="Times New Roman" w:cs="Times New Roman"/>
          <w:sz w:val="24"/>
          <w:szCs w:val="24"/>
        </w:rPr>
      </w:pPr>
    </w:p>
    <w:p w:rsidR="00415075" w:rsidRDefault="00415075" w:rsidP="00B921C5">
      <w:pPr>
        <w:rPr>
          <w:rFonts w:ascii="Times New Roman" w:hAnsi="Times New Roman" w:cs="Times New Roman"/>
          <w:sz w:val="24"/>
          <w:szCs w:val="24"/>
        </w:rPr>
      </w:pPr>
    </w:p>
    <w:p w:rsidR="00415075" w:rsidRDefault="00415075" w:rsidP="00B921C5">
      <w:pPr>
        <w:rPr>
          <w:rFonts w:ascii="Times New Roman" w:hAnsi="Times New Roman" w:cs="Times New Roman"/>
          <w:sz w:val="24"/>
          <w:szCs w:val="24"/>
        </w:rPr>
      </w:pPr>
    </w:p>
    <w:p w:rsidR="00415075" w:rsidRDefault="00415075" w:rsidP="00B921C5">
      <w:pPr>
        <w:rPr>
          <w:rFonts w:ascii="Times New Roman" w:hAnsi="Times New Roman" w:cs="Times New Roman"/>
          <w:sz w:val="24"/>
          <w:szCs w:val="24"/>
        </w:rPr>
      </w:pPr>
    </w:p>
    <w:p w:rsidR="00415075" w:rsidRDefault="00415075" w:rsidP="00B921C5">
      <w:pPr>
        <w:rPr>
          <w:rFonts w:ascii="Times New Roman" w:hAnsi="Times New Roman" w:cs="Times New Roman"/>
          <w:sz w:val="24"/>
          <w:szCs w:val="24"/>
        </w:rPr>
      </w:pPr>
    </w:p>
    <w:p w:rsidR="00415075" w:rsidRPr="000D41A1" w:rsidRDefault="00415075" w:rsidP="00B921C5">
      <w:pPr>
        <w:rPr>
          <w:rFonts w:ascii="Times New Roman" w:hAnsi="Times New Roman" w:cs="Times New Roman"/>
          <w:sz w:val="24"/>
          <w:szCs w:val="24"/>
        </w:rPr>
      </w:pPr>
    </w:p>
    <w:p w:rsidR="00EE0273" w:rsidRPr="000D41A1" w:rsidRDefault="00EE0273">
      <w:pPr>
        <w:rPr>
          <w:rFonts w:ascii="Times New Roman" w:hAnsi="Times New Roman" w:cs="Times New Roman"/>
          <w:sz w:val="24"/>
          <w:szCs w:val="24"/>
        </w:rPr>
      </w:pPr>
    </w:p>
    <w:p w:rsidR="00EE0273" w:rsidRDefault="00EE0273" w:rsidP="00B4545B">
      <w:pPr>
        <w:tabs>
          <w:tab w:val="left" w:pos="1190"/>
        </w:tabs>
      </w:pPr>
      <w:r>
        <w:t xml:space="preserve">                                            </w:t>
      </w:r>
    </w:p>
    <w:p w:rsidR="00647646" w:rsidRDefault="00C65FA8" w:rsidP="001A67EC">
      <w:pPr>
        <w:pStyle w:val="Ttulo1"/>
      </w:pPr>
      <w:bookmarkStart w:id="49" w:name="_Toc4422093"/>
      <w:bookmarkStart w:id="50" w:name="_Toc60223889"/>
      <w:r>
        <w:lastRenderedPageBreak/>
        <w:t>RESULTADOS DE</w:t>
      </w:r>
      <w:r w:rsidR="00F96EE5">
        <w:t xml:space="preserve"> LA SUPERVISIÓN</w:t>
      </w:r>
      <w:bookmarkEnd w:id="50"/>
    </w:p>
    <w:p w:rsidR="00647646" w:rsidRDefault="00647646" w:rsidP="00647646">
      <w:pPr>
        <w:spacing w:after="0" w:line="240" w:lineRule="auto"/>
        <w:jc w:val="both"/>
        <w:rPr>
          <w:rFonts w:ascii="Times New Roman" w:hAnsi="Times New Roman" w:cs="Times New Roman"/>
          <w:sz w:val="24"/>
          <w:szCs w:val="24"/>
        </w:rPr>
      </w:pPr>
    </w:p>
    <w:p w:rsidR="00D644CB" w:rsidRPr="000D22C0" w:rsidRDefault="00D644CB" w:rsidP="00647646">
      <w:pPr>
        <w:spacing w:after="0" w:line="240" w:lineRule="auto"/>
        <w:jc w:val="both"/>
        <w:rPr>
          <w:rFonts w:ascii="Times New Roman" w:hAnsi="Times New Roman" w:cs="Times New Roman"/>
          <w:sz w:val="24"/>
          <w:szCs w:val="24"/>
        </w:rPr>
      </w:pPr>
    </w:p>
    <w:p w:rsidR="000D22C0" w:rsidRPr="000D22C0" w:rsidRDefault="000D22C0" w:rsidP="000D22C0">
      <w:pPr>
        <w:pStyle w:val="Ttulo2"/>
        <w:spacing w:before="0"/>
        <w:jc w:val="center"/>
        <w:rPr>
          <w:rFonts w:ascii="Times New Roman" w:hAnsi="Times New Roman" w:cs="Times New Roman"/>
          <w:b/>
          <w:color w:val="auto"/>
          <w:sz w:val="24"/>
          <w:szCs w:val="24"/>
        </w:rPr>
      </w:pPr>
      <w:bookmarkStart w:id="51" w:name="_Toc60223890"/>
      <w:r w:rsidRPr="000D22C0">
        <w:rPr>
          <w:rFonts w:ascii="Times New Roman" w:hAnsi="Times New Roman" w:cs="Times New Roman"/>
          <w:b/>
          <w:color w:val="auto"/>
          <w:sz w:val="24"/>
          <w:szCs w:val="24"/>
        </w:rPr>
        <w:t xml:space="preserve">Nivel de cumplimiento general </w:t>
      </w:r>
      <w:r w:rsidR="00F3664A">
        <w:rPr>
          <w:rFonts w:ascii="Times New Roman" w:hAnsi="Times New Roman" w:cs="Times New Roman"/>
          <w:b/>
          <w:color w:val="auto"/>
          <w:sz w:val="24"/>
          <w:szCs w:val="24"/>
        </w:rPr>
        <w:t xml:space="preserve">de portales electrónicos </w:t>
      </w:r>
      <w:r w:rsidRPr="000D22C0">
        <w:rPr>
          <w:rFonts w:ascii="Times New Roman" w:hAnsi="Times New Roman" w:cs="Times New Roman"/>
          <w:b/>
          <w:color w:val="auto"/>
          <w:sz w:val="24"/>
          <w:szCs w:val="24"/>
        </w:rPr>
        <w:t>de los organismos del Estado</w:t>
      </w:r>
      <w:r w:rsidR="00FA79F3">
        <w:rPr>
          <w:rFonts w:ascii="Times New Roman" w:hAnsi="Times New Roman" w:cs="Times New Roman"/>
          <w:b/>
          <w:color w:val="auto"/>
          <w:sz w:val="24"/>
          <w:szCs w:val="24"/>
        </w:rPr>
        <w:t xml:space="preserve"> 2020</w:t>
      </w:r>
      <w:bookmarkEnd w:id="51"/>
    </w:p>
    <w:p w:rsidR="00647646" w:rsidRPr="002248C8" w:rsidRDefault="000D22C0" w:rsidP="000D22C0">
      <w:pPr>
        <w:spacing w:after="0"/>
        <w:jc w:val="center"/>
        <w:rPr>
          <w:rFonts w:ascii="Times New Roman" w:hAnsi="Times New Roman" w:cs="Times New Roman"/>
          <w:sz w:val="20"/>
          <w:szCs w:val="24"/>
        </w:rPr>
      </w:pPr>
      <w:r w:rsidRPr="002248C8">
        <w:rPr>
          <w:rFonts w:ascii="Times New Roman" w:hAnsi="Times New Roman" w:cs="Times New Roman"/>
          <w:sz w:val="20"/>
          <w:szCs w:val="24"/>
        </w:rPr>
        <w:t xml:space="preserve"> </w:t>
      </w:r>
      <w:r w:rsidR="00647646" w:rsidRPr="002248C8">
        <w:rPr>
          <w:rFonts w:ascii="Times New Roman" w:hAnsi="Times New Roman" w:cs="Times New Roman"/>
          <w:sz w:val="20"/>
          <w:szCs w:val="24"/>
        </w:rPr>
        <w:t xml:space="preserve">(Se consigna el promedio simple de </w:t>
      </w:r>
      <w:r w:rsidR="00B921C5" w:rsidRPr="002248C8">
        <w:rPr>
          <w:rFonts w:ascii="Times New Roman" w:hAnsi="Times New Roman" w:cs="Times New Roman"/>
          <w:sz w:val="20"/>
          <w:szCs w:val="24"/>
        </w:rPr>
        <w:t xml:space="preserve">70 </w:t>
      </w:r>
      <w:r w:rsidR="00647646" w:rsidRPr="002248C8">
        <w:rPr>
          <w:rFonts w:ascii="Times New Roman" w:hAnsi="Times New Roman" w:cs="Times New Roman"/>
          <w:sz w:val="20"/>
          <w:szCs w:val="24"/>
        </w:rPr>
        <w:t>entidades que conforman el Organismo Ejecutivo</w:t>
      </w:r>
      <w:r w:rsidR="002248C8">
        <w:rPr>
          <w:rFonts w:ascii="Times New Roman" w:hAnsi="Times New Roman" w:cs="Times New Roman"/>
          <w:sz w:val="20"/>
          <w:szCs w:val="24"/>
        </w:rPr>
        <w:t xml:space="preserve"> y para el Organismo Legislativo y Organismo Judicial es una entidad por organismo</w:t>
      </w:r>
      <w:r w:rsidR="00647646" w:rsidRPr="002248C8">
        <w:rPr>
          <w:rFonts w:ascii="Times New Roman" w:hAnsi="Times New Roman" w:cs="Times New Roman"/>
          <w:sz w:val="20"/>
          <w:szCs w:val="24"/>
        </w:rPr>
        <w:t>)</w:t>
      </w:r>
    </w:p>
    <w:p w:rsidR="00FA79F3" w:rsidRPr="000D22C0" w:rsidRDefault="00FA79F3" w:rsidP="000D22C0">
      <w:pPr>
        <w:spacing w:after="0"/>
        <w:jc w:val="center"/>
        <w:rPr>
          <w:rFonts w:ascii="Times New Roman" w:hAnsi="Times New Roman" w:cs="Times New Roman"/>
          <w:sz w:val="24"/>
          <w:szCs w:val="24"/>
        </w:rPr>
      </w:pPr>
    </w:p>
    <w:tbl>
      <w:tblPr>
        <w:tblW w:w="9084" w:type="dxa"/>
        <w:tblInd w:w="55" w:type="dxa"/>
        <w:tblCellMar>
          <w:left w:w="70" w:type="dxa"/>
          <w:right w:w="70" w:type="dxa"/>
        </w:tblCellMar>
        <w:tblLook w:val="04A0" w:firstRow="1" w:lastRow="0" w:firstColumn="1" w:lastColumn="0" w:noHBand="0" w:noVBand="1"/>
      </w:tblPr>
      <w:tblGrid>
        <w:gridCol w:w="617"/>
        <w:gridCol w:w="5919"/>
        <w:gridCol w:w="2548"/>
      </w:tblGrid>
      <w:tr w:rsidR="00F96EE5" w:rsidRPr="00F96EE5" w:rsidTr="00F96EE5">
        <w:trPr>
          <w:trHeight w:val="451"/>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6EE5" w:rsidRPr="00F96EE5" w:rsidRDefault="00F96EE5" w:rsidP="00AD5F01">
            <w:pPr>
              <w:spacing w:after="0" w:line="360" w:lineRule="auto"/>
              <w:jc w:val="center"/>
              <w:rPr>
                <w:rFonts w:ascii="Times New Roman" w:eastAsia="Times New Roman" w:hAnsi="Times New Roman" w:cs="Times New Roman"/>
                <w:b/>
                <w:bCs/>
                <w:color w:val="000000"/>
                <w:sz w:val="20"/>
                <w:szCs w:val="20"/>
                <w:lang w:eastAsia="es-GT"/>
              </w:rPr>
            </w:pPr>
            <w:r w:rsidRPr="00F96EE5">
              <w:rPr>
                <w:rFonts w:ascii="Times New Roman" w:eastAsia="Times New Roman" w:hAnsi="Times New Roman" w:cs="Times New Roman"/>
                <w:b/>
                <w:bCs/>
                <w:color w:val="000000"/>
                <w:sz w:val="20"/>
                <w:szCs w:val="20"/>
                <w:lang w:eastAsia="es-GT"/>
              </w:rPr>
              <w:t>No.</w:t>
            </w:r>
          </w:p>
        </w:tc>
        <w:tc>
          <w:tcPr>
            <w:tcW w:w="5919" w:type="dxa"/>
            <w:tcBorders>
              <w:top w:val="single" w:sz="4" w:space="0" w:color="auto"/>
              <w:left w:val="nil"/>
              <w:bottom w:val="single" w:sz="4" w:space="0" w:color="auto"/>
              <w:right w:val="single" w:sz="4" w:space="0" w:color="auto"/>
            </w:tcBorders>
            <w:shd w:val="clear" w:color="auto" w:fill="auto"/>
            <w:vAlign w:val="center"/>
            <w:hideMark/>
          </w:tcPr>
          <w:p w:rsidR="00F96EE5" w:rsidRPr="00F96EE5" w:rsidRDefault="00F96EE5" w:rsidP="00AD5F01">
            <w:pPr>
              <w:spacing w:after="0" w:line="360" w:lineRule="auto"/>
              <w:jc w:val="center"/>
              <w:rPr>
                <w:rFonts w:ascii="Times New Roman" w:eastAsia="Times New Roman" w:hAnsi="Times New Roman" w:cs="Times New Roman"/>
                <w:b/>
                <w:bCs/>
                <w:color w:val="000000"/>
                <w:sz w:val="20"/>
                <w:szCs w:val="20"/>
                <w:lang w:eastAsia="es-GT"/>
              </w:rPr>
            </w:pPr>
            <w:r w:rsidRPr="00F96EE5">
              <w:rPr>
                <w:rFonts w:ascii="Times New Roman" w:eastAsia="Times New Roman" w:hAnsi="Times New Roman" w:cs="Times New Roman"/>
                <w:b/>
                <w:bCs/>
                <w:color w:val="000000"/>
                <w:sz w:val="20"/>
                <w:szCs w:val="20"/>
                <w:lang w:eastAsia="es-GT"/>
              </w:rPr>
              <w:t>Sujeto Obligado</w:t>
            </w:r>
          </w:p>
        </w:tc>
        <w:tc>
          <w:tcPr>
            <w:tcW w:w="2548" w:type="dxa"/>
            <w:tcBorders>
              <w:top w:val="single" w:sz="4" w:space="0" w:color="auto"/>
              <w:left w:val="nil"/>
              <w:bottom w:val="single" w:sz="4" w:space="0" w:color="auto"/>
              <w:right w:val="single" w:sz="4" w:space="0" w:color="auto"/>
            </w:tcBorders>
            <w:shd w:val="clear" w:color="auto" w:fill="auto"/>
            <w:vAlign w:val="center"/>
            <w:hideMark/>
          </w:tcPr>
          <w:p w:rsidR="00F96EE5" w:rsidRPr="00F96EE5" w:rsidRDefault="00F96EE5" w:rsidP="00AD5F01">
            <w:pPr>
              <w:spacing w:after="0" w:line="360" w:lineRule="auto"/>
              <w:jc w:val="center"/>
              <w:rPr>
                <w:rFonts w:ascii="Times New Roman" w:eastAsia="Times New Roman" w:hAnsi="Times New Roman" w:cs="Times New Roman"/>
                <w:b/>
                <w:bCs/>
                <w:color w:val="000000"/>
                <w:sz w:val="20"/>
                <w:szCs w:val="20"/>
                <w:lang w:eastAsia="es-GT"/>
              </w:rPr>
            </w:pPr>
            <w:r w:rsidRPr="00F96EE5">
              <w:rPr>
                <w:rFonts w:ascii="Times New Roman" w:eastAsia="Times New Roman" w:hAnsi="Times New Roman" w:cs="Times New Roman"/>
                <w:b/>
                <w:bCs/>
                <w:color w:val="000000"/>
                <w:sz w:val="20"/>
                <w:szCs w:val="20"/>
                <w:lang w:eastAsia="es-GT"/>
              </w:rPr>
              <w:t>Nivel de Cumplimiento</w:t>
            </w:r>
          </w:p>
        </w:tc>
      </w:tr>
      <w:tr w:rsidR="00F96EE5" w:rsidRPr="00F96EE5" w:rsidTr="000D22C0">
        <w:trPr>
          <w:trHeight w:val="226"/>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F96EE5" w:rsidRPr="00F96EE5" w:rsidRDefault="00F96EE5" w:rsidP="00AD5F01">
            <w:pPr>
              <w:spacing w:after="0" w:line="360" w:lineRule="auto"/>
              <w:jc w:val="center"/>
              <w:rPr>
                <w:rFonts w:ascii="Times New Roman" w:eastAsia="Times New Roman" w:hAnsi="Times New Roman" w:cs="Times New Roman"/>
                <w:color w:val="000000"/>
                <w:sz w:val="20"/>
                <w:szCs w:val="20"/>
                <w:lang w:eastAsia="es-GT"/>
              </w:rPr>
            </w:pPr>
            <w:r w:rsidRPr="00F96EE5">
              <w:rPr>
                <w:rFonts w:ascii="Times New Roman" w:eastAsia="Times New Roman" w:hAnsi="Times New Roman" w:cs="Times New Roman"/>
                <w:color w:val="000000"/>
                <w:sz w:val="20"/>
                <w:szCs w:val="20"/>
                <w:lang w:eastAsia="es-GT"/>
              </w:rPr>
              <w:t>1</w:t>
            </w:r>
          </w:p>
        </w:tc>
        <w:tc>
          <w:tcPr>
            <w:tcW w:w="5919" w:type="dxa"/>
            <w:tcBorders>
              <w:top w:val="nil"/>
              <w:left w:val="nil"/>
              <w:bottom w:val="single" w:sz="4" w:space="0" w:color="auto"/>
              <w:right w:val="single" w:sz="4" w:space="0" w:color="auto"/>
            </w:tcBorders>
            <w:shd w:val="clear" w:color="auto" w:fill="auto"/>
            <w:noWrap/>
            <w:vAlign w:val="bottom"/>
            <w:hideMark/>
          </w:tcPr>
          <w:p w:rsidR="00F96EE5" w:rsidRPr="00F96EE5" w:rsidRDefault="00F96EE5" w:rsidP="00AD5F01">
            <w:pPr>
              <w:spacing w:after="0" w:line="360" w:lineRule="auto"/>
              <w:rPr>
                <w:rFonts w:ascii="Times New Roman" w:eastAsia="Times New Roman" w:hAnsi="Times New Roman" w:cs="Times New Roman"/>
                <w:color w:val="000000"/>
                <w:sz w:val="20"/>
                <w:szCs w:val="20"/>
                <w:lang w:eastAsia="es-GT"/>
              </w:rPr>
            </w:pPr>
            <w:r w:rsidRPr="00F96EE5">
              <w:rPr>
                <w:rFonts w:ascii="Times New Roman" w:eastAsia="Times New Roman" w:hAnsi="Times New Roman" w:cs="Times New Roman"/>
                <w:color w:val="000000"/>
                <w:sz w:val="20"/>
                <w:szCs w:val="20"/>
                <w:lang w:eastAsia="es-GT"/>
              </w:rPr>
              <w:t>Organismo Ejecutivo</w:t>
            </w:r>
          </w:p>
        </w:tc>
        <w:tc>
          <w:tcPr>
            <w:tcW w:w="2548" w:type="dxa"/>
            <w:tcBorders>
              <w:top w:val="nil"/>
              <w:left w:val="nil"/>
              <w:bottom w:val="single" w:sz="4" w:space="0" w:color="auto"/>
              <w:right w:val="single" w:sz="4" w:space="0" w:color="auto"/>
            </w:tcBorders>
            <w:shd w:val="clear" w:color="auto" w:fill="FFFF00"/>
            <w:noWrap/>
            <w:vAlign w:val="bottom"/>
            <w:hideMark/>
          </w:tcPr>
          <w:p w:rsidR="00F96EE5" w:rsidRPr="00F96EE5" w:rsidRDefault="00977447" w:rsidP="00977447">
            <w:pPr>
              <w:spacing w:after="0" w:line="36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70</w:t>
            </w:r>
            <w:r w:rsidR="00F96EE5" w:rsidRPr="00F96EE5">
              <w:rPr>
                <w:rFonts w:ascii="Times New Roman" w:eastAsia="Times New Roman" w:hAnsi="Times New Roman" w:cs="Times New Roman"/>
                <w:color w:val="000000"/>
                <w:sz w:val="20"/>
                <w:szCs w:val="20"/>
                <w:lang w:eastAsia="es-GT"/>
              </w:rPr>
              <w:t>.</w:t>
            </w:r>
            <w:r>
              <w:rPr>
                <w:rFonts w:ascii="Times New Roman" w:eastAsia="Times New Roman" w:hAnsi="Times New Roman" w:cs="Times New Roman"/>
                <w:color w:val="000000"/>
                <w:sz w:val="20"/>
                <w:szCs w:val="20"/>
                <w:lang w:eastAsia="es-GT"/>
              </w:rPr>
              <w:t>37</w:t>
            </w:r>
          </w:p>
        </w:tc>
      </w:tr>
      <w:tr w:rsidR="00F96EE5" w:rsidRPr="00F96EE5" w:rsidTr="000D22C0">
        <w:trPr>
          <w:trHeight w:val="226"/>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F96EE5" w:rsidRPr="00F96EE5" w:rsidRDefault="00F96EE5" w:rsidP="00AD5F01">
            <w:pPr>
              <w:spacing w:after="0" w:line="360" w:lineRule="auto"/>
              <w:jc w:val="center"/>
              <w:rPr>
                <w:rFonts w:ascii="Times New Roman" w:eastAsia="Times New Roman" w:hAnsi="Times New Roman" w:cs="Times New Roman"/>
                <w:color w:val="000000"/>
                <w:sz w:val="20"/>
                <w:szCs w:val="20"/>
                <w:lang w:eastAsia="es-GT"/>
              </w:rPr>
            </w:pPr>
            <w:r w:rsidRPr="00F96EE5">
              <w:rPr>
                <w:rFonts w:ascii="Times New Roman" w:eastAsia="Times New Roman" w:hAnsi="Times New Roman" w:cs="Times New Roman"/>
                <w:color w:val="000000"/>
                <w:sz w:val="20"/>
                <w:szCs w:val="20"/>
                <w:lang w:eastAsia="es-GT"/>
              </w:rPr>
              <w:t>2</w:t>
            </w:r>
          </w:p>
        </w:tc>
        <w:tc>
          <w:tcPr>
            <w:tcW w:w="5919" w:type="dxa"/>
            <w:tcBorders>
              <w:top w:val="nil"/>
              <w:left w:val="nil"/>
              <w:bottom w:val="single" w:sz="4" w:space="0" w:color="auto"/>
              <w:right w:val="single" w:sz="4" w:space="0" w:color="auto"/>
            </w:tcBorders>
            <w:shd w:val="clear" w:color="auto" w:fill="auto"/>
            <w:noWrap/>
            <w:vAlign w:val="bottom"/>
            <w:hideMark/>
          </w:tcPr>
          <w:p w:rsidR="00F96EE5" w:rsidRPr="00F96EE5" w:rsidRDefault="00F96EE5" w:rsidP="00AD5F01">
            <w:pPr>
              <w:spacing w:after="0" w:line="360" w:lineRule="auto"/>
              <w:rPr>
                <w:rFonts w:ascii="Times New Roman" w:eastAsia="Times New Roman" w:hAnsi="Times New Roman" w:cs="Times New Roman"/>
                <w:color w:val="000000"/>
                <w:sz w:val="20"/>
                <w:szCs w:val="20"/>
                <w:lang w:eastAsia="es-GT"/>
              </w:rPr>
            </w:pPr>
            <w:r w:rsidRPr="00F96EE5">
              <w:rPr>
                <w:rFonts w:ascii="Times New Roman" w:eastAsia="Times New Roman" w:hAnsi="Times New Roman" w:cs="Times New Roman"/>
                <w:color w:val="000000"/>
                <w:sz w:val="20"/>
                <w:szCs w:val="20"/>
                <w:lang w:eastAsia="es-GT"/>
              </w:rPr>
              <w:t>Organismo Legislativo</w:t>
            </w:r>
          </w:p>
        </w:tc>
        <w:tc>
          <w:tcPr>
            <w:tcW w:w="2548" w:type="dxa"/>
            <w:tcBorders>
              <w:top w:val="nil"/>
              <w:left w:val="nil"/>
              <w:bottom w:val="single" w:sz="4" w:space="0" w:color="auto"/>
              <w:right w:val="single" w:sz="4" w:space="0" w:color="auto"/>
            </w:tcBorders>
            <w:shd w:val="clear" w:color="auto" w:fill="00B050"/>
            <w:noWrap/>
            <w:vAlign w:val="bottom"/>
            <w:hideMark/>
          </w:tcPr>
          <w:p w:rsidR="00F96EE5" w:rsidRPr="00F96EE5" w:rsidRDefault="00F96EE5" w:rsidP="00AD5F01">
            <w:pPr>
              <w:spacing w:after="0" w:line="360" w:lineRule="auto"/>
              <w:jc w:val="center"/>
              <w:rPr>
                <w:rFonts w:ascii="Times New Roman" w:eastAsia="Times New Roman" w:hAnsi="Times New Roman" w:cs="Times New Roman"/>
                <w:color w:val="000000"/>
                <w:sz w:val="20"/>
                <w:szCs w:val="20"/>
                <w:lang w:eastAsia="es-GT"/>
              </w:rPr>
            </w:pPr>
            <w:r w:rsidRPr="00F96EE5">
              <w:rPr>
                <w:rFonts w:ascii="Times New Roman" w:eastAsia="Times New Roman" w:hAnsi="Times New Roman" w:cs="Times New Roman"/>
                <w:color w:val="000000"/>
                <w:sz w:val="20"/>
                <w:szCs w:val="20"/>
                <w:lang w:eastAsia="es-GT"/>
              </w:rPr>
              <w:t>94.05</w:t>
            </w:r>
          </w:p>
        </w:tc>
      </w:tr>
      <w:tr w:rsidR="00F96EE5" w:rsidRPr="00F96EE5" w:rsidTr="000D22C0">
        <w:trPr>
          <w:trHeight w:val="226"/>
        </w:trPr>
        <w:tc>
          <w:tcPr>
            <w:tcW w:w="617" w:type="dxa"/>
            <w:tcBorders>
              <w:top w:val="nil"/>
              <w:left w:val="single" w:sz="4" w:space="0" w:color="auto"/>
              <w:bottom w:val="single" w:sz="4" w:space="0" w:color="auto"/>
              <w:right w:val="single" w:sz="4" w:space="0" w:color="auto"/>
            </w:tcBorders>
            <w:shd w:val="clear" w:color="auto" w:fill="auto"/>
            <w:noWrap/>
            <w:vAlign w:val="bottom"/>
            <w:hideMark/>
          </w:tcPr>
          <w:p w:rsidR="00F96EE5" w:rsidRPr="00F96EE5" w:rsidRDefault="00F96EE5" w:rsidP="00AD5F01">
            <w:pPr>
              <w:spacing w:after="0" w:line="360" w:lineRule="auto"/>
              <w:jc w:val="center"/>
              <w:rPr>
                <w:rFonts w:ascii="Times New Roman" w:eastAsia="Times New Roman" w:hAnsi="Times New Roman" w:cs="Times New Roman"/>
                <w:color w:val="000000"/>
                <w:sz w:val="20"/>
                <w:szCs w:val="20"/>
                <w:lang w:eastAsia="es-GT"/>
              </w:rPr>
            </w:pPr>
            <w:r w:rsidRPr="00F96EE5">
              <w:rPr>
                <w:rFonts w:ascii="Times New Roman" w:eastAsia="Times New Roman" w:hAnsi="Times New Roman" w:cs="Times New Roman"/>
                <w:color w:val="000000"/>
                <w:sz w:val="20"/>
                <w:szCs w:val="20"/>
                <w:lang w:eastAsia="es-GT"/>
              </w:rPr>
              <w:t>3</w:t>
            </w:r>
          </w:p>
        </w:tc>
        <w:tc>
          <w:tcPr>
            <w:tcW w:w="5919" w:type="dxa"/>
            <w:tcBorders>
              <w:top w:val="nil"/>
              <w:left w:val="nil"/>
              <w:bottom w:val="single" w:sz="4" w:space="0" w:color="auto"/>
              <w:right w:val="single" w:sz="4" w:space="0" w:color="auto"/>
            </w:tcBorders>
            <w:shd w:val="clear" w:color="auto" w:fill="auto"/>
            <w:noWrap/>
            <w:vAlign w:val="bottom"/>
            <w:hideMark/>
          </w:tcPr>
          <w:p w:rsidR="00F96EE5" w:rsidRPr="00F96EE5" w:rsidRDefault="00F96EE5" w:rsidP="00AD5F01">
            <w:pPr>
              <w:spacing w:after="0" w:line="360" w:lineRule="auto"/>
              <w:rPr>
                <w:rFonts w:ascii="Times New Roman" w:eastAsia="Times New Roman" w:hAnsi="Times New Roman" w:cs="Times New Roman"/>
                <w:color w:val="000000"/>
                <w:sz w:val="20"/>
                <w:szCs w:val="20"/>
                <w:lang w:eastAsia="es-GT"/>
              </w:rPr>
            </w:pPr>
            <w:r w:rsidRPr="00F96EE5">
              <w:rPr>
                <w:rFonts w:ascii="Times New Roman" w:eastAsia="Times New Roman" w:hAnsi="Times New Roman" w:cs="Times New Roman"/>
                <w:color w:val="000000"/>
                <w:sz w:val="20"/>
                <w:szCs w:val="20"/>
                <w:lang w:eastAsia="es-GT"/>
              </w:rPr>
              <w:t>Organismo Judicial</w:t>
            </w:r>
          </w:p>
        </w:tc>
        <w:tc>
          <w:tcPr>
            <w:tcW w:w="2548" w:type="dxa"/>
            <w:tcBorders>
              <w:top w:val="nil"/>
              <w:left w:val="nil"/>
              <w:bottom w:val="single" w:sz="4" w:space="0" w:color="auto"/>
              <w:right w:val="single" w:sz="4" w:space="0" w:color="auto"/>
            </w:tcBorders>
            <w:shd w:val="clear" w:color="auto" w:fill="FFFF00"/>
            <w:noWrap/>
            <w:vAlign w:val="bottom"/>
            <w:hideMark/>
          </w:tcPr>
          <w:p w:rsidR="00F96EE5" w:rsidRPr="00F96EE5" w:rsidRDefault="00F96EE5" w:rsidP="00AD5F01">
            <w:pPr>
              <w:spacing w:after="0" w:line="360" w:lineRule="auto"/>
              <w:jc w:val="center"/>
              <w:rPr>
                <w:rFonts w:ascii="Times New Roman" w:eastAsia="Times New Roman" w:hAnsi="Times New Roman" w:cs="Times New Roman"/>
                <w:color w:val="000000"/>
                <w:sz w:val="20"/>
                <w:szCs w:val="20"/>
                <w:lang w:eastAsia="es-GT"/>
              </w:rPr>
            </w:pPr>
            <w:r w:rsidRPr="00F96EE5">
              <w:rPr>
                <w:rFonts w:ascii="Times New Roman" w:eastAsia="Times New Roman" w:hAnsi="Times New Roman" w:cs="Times New Roman"/>
                <w:color w:val="000000"/>
                <w:sz w:val="20"/>
                <w:szCs w:val="20"/>
                <w:lang w:eastAsia="es-GT"/>
              </w:rPr>
              <w:t>83.33</w:t>
            </w:r>
          </w:p>
        </w:tc>
      </w:tr>
    </w:tbl>
    <w:p w:rsidR="002248C8" w:rsidRDefault="002248C8" w:rsidP="00525343">
      <w:pPr>
        <w:spacing w:after="0" w:line="240" w:lineRule="auto"/>
        <w:jc w:val="both"/>
        <w:rPr>
          <w:rFonts w:ascii="Times New Roman" w:hAnsi="Times New Roman" w:cs="Times New Roman"/>
          <w:b/>
          <w:sz w:val="18"/>
          <w:szCs w:val="18"/>
        </w:rPr>
      </w:pPr>
    </w:p>
    <w:p w:rsidR="000D22C0" w:rsidRPr="000D22C0" w:rsidRDefault="000D22C0" w:rsidP="00525343">
      <w:pPr>
        <w:spacing w:after="0" w:line="240" w:lineRule="auto"/>
        <w:jc w:val="both"/>
        <w:rPr>
          <w:rFonts w:ascii="Times New Roman" w:hAnsi="Times New Roman" w:cs="Times New Roman"/>
          <w:sz w:val="18"/>
          <w:szCs w:val="18"/>
        </w:rPr>
      </w:pPr>
      <w:r w:rsidRPr="000D22C0">
        <w:rPr>
          <w:rFonts w:ascii="Times New Roman" w:hAnsi="Times New Roman" w:cs="Times New Roman"/>
          <w:b/>
          <w:sz w:val="18"/>
          <w:szCs w:val="18"/>
        </w:rPr>
        <w:t>Fuente</w:t>
      </w:r>
      <w:r w:rsidRPr="000D22C0">
        <w:rPr>
          <w:rFonts w:ascii="Times New Roman" w:hAnsi="Times New Roman" w:cs="Times New Roman"/>
          <w:sz w:val="18"/>
          <w:szCs w:val="18"/>
        </w:rPr>
        <w:t>: elaboración propia con base a supervisiones realizadas por SECAI.</w:t>
      </w:r>
    </w:p>
    <w:p w:rsidR="000D22C0" w:rsidRDefault="000D22C0" w:rsidP="00647646">
      <w:pPr>
        <w:spacing w:after="0" w:line="240" w:lineRule="auto"/>
        <w:jc w:val="both"/>
        <w:rPr>
          <w:rFonts w:ascii="Times New Roman" w:hAnsi="Times New Roman" w:cs="Times New Roman"/>
          <w:sz w:val="24"/>
          <w:szCs w:val="24"/>
        </w:rPr>
      </w:pPr>
    </w:p>
    <w:p w:rsidR="00D644CB" w:rsidRDefault="00D644CB" w:rsidP="00647646">
      <w:pPr>
        <w:spacing w:after="0" w:line="240" w:lineRule="auto"/>
        <w:jc w:val="both"/>
        <w:rPr>
          <w:rFonts w:ascii="Times New Roman" w:hAnsi="Times New Roman" w:cs="Times New Roman"/>
          <w:sz w:val="24"/>
          <w:szCs w:val="24"/>
        </w:rPr>
      </w:pPr>
    </w:p>
    <w:p w:rsidR="000D22C0" w:rsidRPr="0032626C" w:rsidRDefault="000D22C0" w:rsidP="0032626C">
      <w:pPr>
        <w:pStyle w:val="Ttulo2"/>
        <w:rPr>
          <w:rFonts w:ascii="Times New Roman" w:hAnsi="Times New Roman" w:cs="Times New Roman"/>
          <w:b/>
          <w:color w:val="auto"/>
          <w:sz w:val="24"/>
          <w:szCs w:val="24"/>
        </w:rPr>
      </w:pPr>
      <w:bookmarkStart w:id="52" w:name="_Toc60223891"/>
      <w:r w:rsidRPr="0032626C">
        <w:rPr>
          <w:rFonts w:ascii="Times New Roman" w:hAnsi="Times New Roman" w:cs="Times New Roman"/>
          <w:b/>
          <w:color w:val="auto"/>
          <w:sz w:val="24"/>
          <w:szCs w:val="24"/>
        </w:rPr>
        <w:t xml:space="preserve">Gráfica que refleja el nivel de cumplimiento general </w:t>
      </w:r>
      <w:r w:rsidR="00F3664A" w:rsidRPr="0032626C">
        <w:rPr>
          <w:rFonts w:ascii="Times New Roman" w:hAnsi="Times New Roman" w:cs="Times New Roman"/>
          <w:b/>
          <w:color w:val="auto"/>
          <w:sz w:val="24"/>
          <w:szCs w:val="24"/>
        </w:rPr>
        <w:t xml:space="preserve">de los portales electrónicos </w:t>
      </w:r>
      <w:r w:rsidRPr="0032626C">
        <w:rPr>
          <w:rFonts w:ascii="Times New Roman" w:hAnsi="Times New Roman" w:cs="Times New Roman"/>
          <w:b/>
          <w:color w:val="auto"/>
          <w:sz w:val="24"/>
          <w:szCs w:val="24"/>
        </w:rPr>
        <w:t>de los organismos del Estado</w:t>
      </w:r>
      <w:r w:rsidR="00FA79F3" w:rsidRPr="0032626C">
        <w:rPr>
          <w:rFonts w:ascii="Times New Roman" w:hAnsi="Times New Roman" w:cs="Times New Roman"/>
          <w:b/>
          <w:color w:val="auto"/>
          <w:sz w:val="24"/>
          <w:szCs w:val="24"/>
        </w:rPr>
        <w:t xml:space="preserve"> 2020</w:t>
      </w:r>
      <w:bookmarkEnd w:id="52"/>
    </w:p>
    <w:p w:rsidR="002248C8" w:rsidRPr="000D22C0" w:rsidRDefault="002248C8" w:rsidP="00647646">
      <w:pPr>
        <w:spacing w:after="0" w:line="240" w:lineRule="auto"/>
        <w:jc w:val="both"/>
        <w:rPr>
          <w:rFonts w:ascii="Times New Roman" w:hAnsi="Times New Roman" w:cs="Times New Roman"/>
          <w:sz w:val="24"/>
          <w:szCs w:val="24"/>
        </w:rPr>
      </w:pPr>
    </w:p>
    <w:p w:rsidR="00F96EE5" w:rsidRPr="000D22C0" w:rsidRDefault="00F96EE5" w:rsidP="00647646">
      <w:pPr>
        <w:spacing w:after="0" w:line="240" w:lineRule="auto"/>
        <w:jc w:val="both"/>
        <w:rPr>
          <w:rFonts w:ascii="Times New Roman" w:hAnsi="Times New Roman" w:cs="Times New Roman"/>
          <w:sz w:val="24"/>
          <w:szCs w:val="24"/>
        </w:rPr>
      </w:pPr>
      <w:r w:rsidRPr="000D22C0">
        <w:rPr>
          <w:rFonts w:ascii="Times New Roman" w:hAnsi="Times New Roman" w:cs="Times New Roman"/>
          <w:noProof/>
          <w:sz w:val="24"/>
          <w:szCs w:val="24"/>
          <w:lang w:eastAsia="es-GT"/>
        </w:rPr>
        <w:drawing>
          <wp:inline distT="0" distB="0" distL="0" distR="0" wp14:anchorId="1F696752" wp14:editId="29AD76CD">
            <wp:extent cx="5762625" cy="2743200"/>
            <wp:effectExtent l="0" t="0" r="9525"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248C8" w:rsidRDefault="002248C8" w:rsidP="00525343">
      <w:pPr>
        <w:spacing w:after="0" w:line="240" w:lineRule="auto"/>
        <w:jc w:val="both"/>
        <w:rPr>
          <w:rFonts w:ascii="Times New Roman" w:hAnsi="Times New Roman" w:cs="Times New Roman"/>
          <w:b/>
          <w:sz w:val="18"/>
          <w:szCs w:val="18"/>
        </w:rPr>
      </w:pPr>
    </w:p>
    <w:p w:rsidR="00F96EE5" w:rsidRPr="000D22C0" w:rsidRDefault="00F96EE5" w:rsidP="00525343">
      <w:pPr>
        <w:spacing w:after="0" w:line="240" w:lineRule="auto"/>
        <w:jc w:val="both"/>
        <w:rPr>
          <w:rFonts w:ascii="Times New Roman" w:hAnsi="Times New Roman" w:cs="Times New Roman"/>
          <w:sz w:val="18"/>
          <w:szCs w:val="18"/>
        </w:rPr>
      </w:pPr>
      <w:r w:rsidRPr="000D22C0">
        <w:rPr>
          <w:rFonts w:ascii="Times New Roman" w:hAnsi="Times New Roman" w:cs="Times New Roman"/>
          <w:b/>
          <w:sz w:val="18"/>
          <w:szCs w:val="18"/>
        </w:rPr>
        <w:t>Fuente</w:t>
      </w:r>
      <w:r w:rsidRPr="000D22C0">
        <w:rPr>
          <w:rFonts w:ascii="Times New Roman" w:hAnsi="Times New Roman" w:cs="Times New Roman"/>
          <w:sz w:val="18"/>
          <w:szCs w:val="18"/>
        </w:rPr>
        <w:t>: elaboración propia con base a supervisiones realizadas por SECAI.</w:t>
      </w:r>
    </w:p>
    <w:p w:rsidR="00647646" w:rsidRDefault="00647646" w:rsidP="00FA79F3">
      <w:pPr>
        <w:spacing w:after="0"/>
        <w:rPr>
          <w:rFonts w:ascii="Times New Roman" w:hAnsi="Times New Roman" w:cs="Times New Roman"/>
          <w:sz w:val="24"/>
          <w:szCs w:val="24"/>
        </w:rPr>
      </w:pPr>
    </w:p>
    <w:p w:rsidR="00B8013B" w:rsidRDefault="00B8013B" w:rsidP="00B8013B">
      <w:pPr>
        <w:spacing w:after="0"/>
        <w:jc w:val="both"/>
        <w:rPr>
          <w:rFonts w:ascii="Times New Roman" w:hAnsi="Times New Roman" w:cs="Times New Roman"/>
          <w:sz w:val="24"/>
          <w:szCs w:val="24"/>
        </w:rPr>
      </w:pPr>
      <w:r>
        <w:rPr>
          <w:rFonts w:ascii="Times New Roman" w:hAnsi="Times New Roman" w:cs="Times New Roman"/>
          <w:sz w:val="24"/>
          <w:szCs w:val="24"/>
        </w:rPr>
        <w:t xml:space="preserve">El Organismo Ejecutivo es el organismo del Estado con el nivel de cumplimiento más bajo, en cuanto a la publicación de la información de oficio en los portales electrónicos también conocido como transparencia activa, </w:t>
      </w:r>
      <w:r w:rsidR="00D644CB">
        <w:rPr>
          <w:rFonts w:ascii="Times New Roman" w:hAnsi="Times New Roman" w:cs="Times New Roman"/>
          <w:sz w:val="24"/>
          <w:szCs w:val="24"/>
        </w:rPr>
        <w:t xml:space="preserve">una de las razones podría </w:t>
      </w:r>
      <w:r>
        <w:rPr>
          <w:rFonts w:ascii="Times New Roman" w:hAnsi="Times New Roman" w:cs="Times New Roman"/>
          <w:sz w:val="24"/>
          <w:szCs w:val="24"/>
        </w:rPr>
        <w:t xml:space="preserve">deberse a que es el resultado del nivel de cumplimiento de 70 </w:t>
      </w:r>
      <w:r w:rsidR="00D644CB">
        <w:rPr>
          <w:rFonts w:ascii="Times New Roman" w:hAnsi="Times New Roman" w:cs="Times New Roman"/>
          <w:sz w:val="24"/>
          <w:szCs w:val="24"/>
        </w:rPr>
        <w:t>dependencias que a su vez son sujetos obligados</w:t>
      </w:r>
      <w:r>
        <w:rPr>
          <w:rFonts w:ascii="Times New Roman" w:hAnsi="Times New Roman" w:cs="Times New Roman"/>
          <w:sz w:val="24"/>
          <w:szCs w:val="24"/>
        </w:rPr>
        <w:t xml:space="preserve"> </w:t>
      </w:r>
      <w:r w:rsidR="00D644CB">
        <w:rPr>
          <w:rFonts w:ascii="Times New Roman" w:hAnsi="Times New Roman" w:cs="Times New Roman"/>
          <w:sz w:val="24"/>
          <w:szCs w:val="24"/>
        </w:rPr>
        <w:t>y algunos ministerios como es el caso del Ministerio de Comunicaciones, Infraestructura y Vivienda con 15 dependencias, cada una con su propio portal electrónico; en comparación con los otros dos organismos, en los que solo cuentan con un sujeto obligado cada uno.</w:t>
      </w:r>
    </w:p>
    <w:p w:rsidR="00525343" w:rsidRDefault="00525343" w:rsidP="00FA79F3">
      <w:pPr>
        <w:spacing w:after="0"/>
        <w:rPr>
          <w:rFonts w:ascii="Times New Roman" w:hAnsi="Times New Roman" w:cs="Times New Roman"/>
          <w:sz w:val="24"/>
          <w:szCs w:val="24"/>
        </w:rPr>
      </w:pPr>
    </w:p>
    <w:p w:rsidR="00D644CB" w:rsidRDefault="00D644CB" w:rsidP="00FA79F3">
      <w:pPr>
        <w:spacing w:after="0"/>
        <w:rPr>
          <w:rFonts w:ascii="Times New Roman" w:hAnsi="Times New Roman" w:cs="Times New Roman"/>
          <w:sz w:val="24"/>
          <w:szCs w:val="24"/>
        </w:rPr>
      </w:pPr>
    </w:p>
    <w:p w:rsidR="00D644CB" w:rsidRDefault="00D644CB" w:rsidP="00FA79F3">
      <w:pPr>
        <w:spacing w:after="0"/>
        <w:rPr>
          <w:rFonts w:ascii="Times New Roman" w:hAnsi="Times New Roman" w:cs="Times New Roman"/>
          <w:sz w:val="24"/>
          <w:szCs w:val="24"/>
        </w:rPr>
      </w:pPr>
    </w:p>
    <w:p w:rsidR="00D644CB" w:rsidRPr="000D22C0" w:rsidRDefault="00D644CB" w:rsidP="00FA79F3">
      <w:pPr>
        <w:spacing w:after="0"/>
        <w:rPr>
          <w:rFonts w:ascii="Times New Roman" w:hAnsi="Times New Roman" w:cs="Times New Roman"/>
          <w:sz w:val="24"/>
          <w:szCs w:val="24"/>
        </w:rPr>
      </w:pPr>
    </w:p>
    <w:p w:rsidR="000D22C0" w:rsidRPr="000D22C0" w:rsidRDefault="00F3664A" w:rsidP="000D22C0">
      <w:pPr>
        <w:pStyle w:val="Ttulo2"/>
        <w:spacing w:before="0"/>
        <w:jc w:val="center"/>
        <w:rPr>
          <w:rFonts w:ascii="Times New Roman" w:hAnsi="Times New Roman" w:cs="Times New Roman"/>
          <w:b/>
          <w:color w:val="auto"/>
          <w:sz w:val="24"/>
          <w:szCs w:val="24"/>
        </w:rPr>
      </w:pPr>
      <w:bookmarkStart w:id="53" w:name="_Toc60223892"/>
      <w:r>
        <w:rPr>
          <w:rFonts w:ascii="Times New Roman" w:hAnsi="Times New Roman" w:cs="Times New Roman"/>
          <w:b/>
          <w:color w:val="auto"/>
          <w:sz w:val="24"/>
          <w:szCs w:val="24"/>
        </w:rPr>
        <w:t>Comparativo del n</w:t>
      </w:r>
      <w:r w:rsidR="000D22C0" w:rsidRPr="000D22C0">
        <w:rPr>
          <w:rFonts w:ascii="Times New Roman" w:hAnsi="Times New Roman" w:cs="Times New Roman"/>
          <w:b/>
          <w:color w:val="auto"/>
          <w:sz w:val="24"/>
          <w:szCs w:val="24"/>
        </w:rPr>
        <w:t xml:space="preserve">ivel de cumplimiento </w:t>
      </w:r>
      <w:r>
        <w:rPr>
          <w:rFonts w:ascii="Times New Roman" w:hAnsi="Times New Roman" w:cs="Times New Roman"/>
          <w:b/>
          <w:color w:val="auto"/>
          <w:sz w:val="24"/>
          <w:szCs w:val="24"/>
        </w:rPr>
        <w:t>de portales electrónicos 2019-2020</w:t>
      </w:r>
      <w:r w:rsidR="000D22C0" w:rsidRPr="000D22C0">
        <w:rPr>
          <w:rFonts w:ascii="Times New Roman" w:hAnsi="Times New Roman" w:cs="Times New Roman"/>
          <w:b/>
          <w:color w:val="auto"/>
          <w:sz w:val="24"/>
          <w:szCs w:val="24"/>
        </w:rPr>
        <w:t xml:space="preserve"> de los organismos del Estado</w:t>
      </w:r>
      <w:bookmarkEnd w:id="53"/>
    </w:p>
    <w:p w:rsidR="00FA79F3" w:rsidRDefault="00FA79F3" w:rsidP="00FA79F3">
      <w:pPr>
        <w:spacing w:after="0"/>
        <w:jc w:val="center"/>
        <w:rPr>
          <w:rFonts w:ascii="Times New Roman" w:hAnsi="Times New Roman" w:cs="Times New Roman"/>
          <w:sz w:val="24"/>
          <w:szCs w:val="24"/>
        </w:rPr>
      </w:pPr>
      <w:r w:rsidRPr="000D22C0">
        <w:rPr>
          <w:rFonts w:ascii="Times New Roman" w:hAnsi="Times New Roman" w:cs="Times New Roman"/>
          <w:sz w:val="24"/>
          <w:szCs w:val="24"/>
        </w:rPr>
        <w:t>(Se consigna el promedio simple de 70 entidades que conforman el Organismo Ejecutivo)</w:t>
      </w:r>
    </w:p>
    <w:p w:rsidR="00FA79F3" w:rsidRPr="000D22C0" w:rsidRDefault="00FA79F3" w:rsidP="00FA79F3">
      <w:pPr>
        <w:spacing w:after="0"/>
        <w:jc w:val="center"/>
        <w:rPr>
          <w:rFonts w:ascii="Times New Roman" w:hAnsi="Times New Roman" w:cs="Times New Roman"/>
          <w:sz w:val="24"/>
          <w:szCs w:val="24"/>
        </w:rPr>
      </w:pPr>
    </w:p>
    <w:tbl>
      <w:tblPr>
        <w:tblW w:w="9087" w:type="dxa"/>
        <w:tblInd w:w="55" w:type="dxa"/>
        <w:tblCellMar>
          <w:left w:w="70" w:type="dxa"/>
          <w:right w:w="70" w:type="dxa"/>
        </w:tblCellMar>
        <w:tblLook w:val="04A0" w:firstRow="1" w:lastRow="0" w:firstColumn="1" w:lastColumn="0" w:noHBand="0" w:noVBand="1"/>
      </w:tblPr>
      <w:tblGrid>
        <w:gridCol w:w="463"/>
        <w:gridCol w:w="3663"/>
        <w:gridCol w:w="2410"/>
        <w:gridCol w:w="2551"/>
      </w:tblGrid>
      <w:tr w:rsidR="00FA79F3" w:rsidRPr="00FA79F3" w:rsidTr="00FA79F3">
        <w:trPr>
          <w:trHeight w:val="523"/>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79F3" w:rsidRPr="00B8013B" w:rsidRDefault="00FA79F3" w:rsidP="00FA79F3">
            <w:pPr>
              <w:spacing w:after="0" w:line="360" w:lineRule="auto"/>
              <w:jc w:val="center"/>
              <w:rPr>
                <w:rFonts w:ascii="Times New Roman" w:eastAsia="Times New Roman" w:hAnsi="Times New Roman" w:cs="Times New Roman"/>
                <w:b/>
                <w:bCs/>
                <w:color w:val="000000"/>
                <w:sz w:val="20"/>
                <w:szCs w:val="20"/>
                <w:lang w:eastAsia="es-GT"/>
              </w:rPr>
            </w:pPr>
            <w:r w:rsidRPr="00B8013B">
              <w:rPr>
                <w:rFonts w:ascii="Times New Roman" w:eastAsia="Times New Roman" w:hAnsi="Times New Roman" w:cs="Times New Roman"/>
                <w:b/>
                <w:bCs/>
                <w:color w:val="000000"/>
                <w:sz w:val="20"/>
                <w:szCs w:val="20"/>
                <w:lang w:eastAsia="es-GT"/>
              </w:rPr>
              <w:t>No.</w:t>
            </w:r>
          </w:p>
        </w:tc>
        <w:tc>
          <w:tcPr>
            <w:tcW w:w="3663" w:type="dxa"/>
            <w:tcBorders>
              <w:top w:val="single" w:sz="4" w:space="0" w:color="auto"/>
              <w:left w:val="nil"/>
              <w:bottom w:val="single" w:sz="4" w:space="0" w:color="auto"/>
              <w:right w:val="single" w:sz="4" w:space="0" w:color="auto"/>
            </w:tcBorders>
            <w:shd w:val="clear" w:color="auto" w:fill="auto"/>
            <w:vAlign w:val="center"/>
            <w:hideMark/>
          </w:tcPr>
          <w:p w:rsidR="00FA79F3" w:rsidRPr="00B8013B" w:rsidRDefault="00FA79F3" w:rsidP="00FA79F3">
            <w:pPr>
              <w:spacing w:after="0" w:line="360" w:lineRule="auto"/>
              <w:jc w:val="center"/>
              <w:rPr>
                <w:rFonts w:ascii="Times New Roman" w:eastAsia="Times New Roman" w:hAnsi="Times New Roman" w:cs="Times New Roman"/>
                <w:b/>
                <w:bCs/>
                <w:color w:val="000000"/>
                <w:sz w:val="20"/>
                <w:szCs w:val="20"/>
                <w:lang w:eastAsia="es-GT"/>
              </w:rPr>
            </w:pPr>
            <w:r w:rsidRPr="00B8013B">
              <w:rPr>
                <w:rFonts w:ascii="Times New Roman" w:eastAsia="Times New Roman" w:hAnsi="Times New Roman" w:cs="Times New Roman"/>
                <w:b/>
                <w:bCs/>
                <w:color w:val="000000"/>
                <w:sz w:val="20"/>
                <w:szCs w:val="20"/>
                <w:lang w:eastAsia="es-GT"/>
              </w:rPr>
              <w:t>Sujeto Obligado</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FA79F3" w:rsidRPr="00B8013B" w:rsidRDefault="00FA79F3" w:rsidP="00FA79F3">
            <w:pPr>
              <w:spacing w:after="0" w:line="360" w:lineRule="auto"/>
              <w:jc w:val="center"/>
              <w:rPr>
                <w:rFonts w:ascii="Times New Roman" w:eastAsia="Times New Roman" w:hAnsi="Times New Roman" w:cs="Times New Roman"/>
                <w:b/>
                <w:bCs/>
                <w:color w:val="000000"/>
                <w:sz w:val="20"/>
                <w:szCs w:val="20"/>
                <w:lang w:eastAsia="es-GT"/>
              </w:rPr>
            </w:pPr>
            <w:r w:rsidRPr="00B8013B">
              <w:rPr>
                <w:rFonts w:ascii="Times New Roman" w:eastAsia="Times New Roman" w:hAnsi="Times New Roman" w:cs="Times New Roman"/>
                <w:b/>
                <w:bCs/>
                <w:color w:val="000000"/>
                <w:sz w:val="20"/>
                <w:szCs w:val="20"/>
                <w:lang w:eastAsia="es-GT"/>
              </w:rPr>
              <w:t>Nivel de Cumplimiento 2019</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FA79F3" w:rsidRPr="00B8013B" w:rsidRDefault="00FA79F3" w:rsidP="00FA79F3">
            <w:pPr>
              <w:spacing w:after="0" w:line="360" w:lineRule="auto"/>
              <w:jc w:val="center"/>
              <w:rPr>
                <w:rFonts w:ascii="Times New Roman" w:eastAsia="Times New Roman" w:hAnsi="Times New Roman" w:cs="Times New Roman"/>
                <w:b/>
                <w:bCs/>
                <w:color w:val="000000"/>
                <w:sz w:val="20"/>
                <w:szCs w:val="20"/>
                <w:lang w:eastAsia="es-GT"/>
              </w:rPr>
            </w:pPr>
            <w:r w:rsidRPr="00B8013B">
              <w:rPr>
                <w:rFonts w:ascii="Times New Roman" w:eastAsia="Times New Roman" w:hAnsi="Times New Roman" w:cs="Times New Roman"/>
                <w:b/>
                <w:bCs/>
                <w:color w:val="000000"/>
                <w:sz w:val="20"/>
                <w:szCs w:val="20"/>
                <w:lang w:eastAsia="es-GT"/>
              </w:rPr>
              <w:t>Nivel de Cumplimiento 2020</w:t>
            </w:r>
          </w:p>
        </w:tc>
      </w:tr>
      <w:tr w:rsidR="00FA79F3" w:rsidRPr="00FA79F3" w:rsidTr="00B8013B">
        <w:trPr>
          <w:trHeight w:val="255"/>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FA79F3" w:rsidRPr="00B8013B" w:rsidRDefault="00FA79F3" w:rsidP="00FA79F3">
            <w:pPr>
              <w:spacing w:after="0" w:line="360" w:lineRule="auto"/>
              <w:jc w:val="center"/>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1</w:t>
            </w:r>
          </w:p>
        </w:tc>
        <w:tc>
          <w:tcPr>
            <w:tcW w:w="3663" w:type="dxa"/>
            <w:tcBorders>
              <w:top w:val="nil"/>
              <w:left w:val="nil"/>
              <w:bottom w:val="single" w:sz="4" w:space="0" w:color="auto"/>
              <w:right w:val="single" w:sz="4" w:space="0" w:color="auto"/>
            </w:tcBorders>
            <w:shd w:val="clear" w:color="auto" w:fill="auto"/>
            <w:noWrap/>
            <w:vAlign w:val="bottom"/>
            <w:hideMark/>
          </w:tcPr>
          <w:p w:rsidR="00FA79F3" w:rsidRPr="00B8013B" w:rsidRDefault="00FA79F3" w:rsidP="00FA79F3">
            <w:pPr>
              <w:spacing w:after="0" w:line="360" w:lineRule="auto"/>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Organismo Ejecutivo</w:t>
            </w:r>
          </w:p>
        </w:tc>
        <w:tc>
          <w:tcPr>
            <w:tcW w:w="2410" w:type="dxa"/>
            <w:tcBorders>
              <w:top w:val="nil"/>
              <w:left w:val="nil"/>
              <w:bottom w:val="single" w:sz="4" w:space="0" w:color="auto"/>
              <w:right w:val="single" w:sz="4" w:space="0" w:color="auto"/>
            </w:tcBorders>
            <w:shd w:val="clear" w:color="auto" w:fill="FF0000"/>
            <w:noWrap/>
            <w:vAlign w:val="bottom"/>
            <w:hideMark/>
          </w:tcPr>
          <w:p w:rsidR="00FA79F3" w:rsidRPr="00B8013B" w:rsidRDefault="00FA79F3" w:rsidP="00FA79F3">
            <w:pPr>
              <w:spacing w:after="0" w:line="360" w:lineRule="auto"/>
              <w:jc w:val="center"/>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57.41</w:t>
            </w:r>
          </w:p>
        </w:tc>
        <w:tc>
          <w:tcPr>
            <w:tcW w:w="2551" w:type="dxa"/>
            <w:tcBorders>
              <w:top w:val="nil"/>
              <w:left w:val="nil"/>
              <w:bottom w:val="single" w:sz="4" w:space="0" w:color="auto"/>
              <w:right w:val="single" w:sz="4" w:space="0" w:color="auto"/>
            </w:tcBorders>
            <w:shd w:val="clear" w:color="auto" w:fill="FFFF00"/>
            <w:noWrap/>
            <w:vAlign w:val="bottom"/>
            <w:hideMark/>
          </w:tcPr>
          <w:p w:rsidR="00FA79F3" w:rsidRPr="00B8013B" w:rsidRDefault="00977447" w:rsidP="00977447">
            <w:pPr>
              <w:spacing w:after="0" w:line="36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70</w:t>
            </w:r>
            <w:r w:rsidR="00FA79F3" w:rsidRPr="00B8013B">
              <w:rPr>
                <w:rFonts w:ascii="Times New Roman" w:eastAsia="Times New Roman" w:hAnsi="Times New Roman" w:cs="Times New Roman"/>
                <w:color w:val="000000"/>
                <w:sz w:val="20"/>
                <w:szCs w:val="20"/>
                <w:lang w:eastAsia="es-GT"/>
              </w:rPr>
              <w:t>.</w:t>
            </w:r>
            <w:r>
              <w:rPr>
                <w:rFonts w:ascii="Times New Roman" w:eastAsia="Times New Roman" w:hAnsi="Times New Roman" w:cs="Times New Roman"/>
                <w:color w:val="000000"/>
                <w:sz w:val="20"/>
                <w:szCs w:val="20"/>
                <w:lang w:eastAsia="es-GT"/>
              </w:rPr>
              <w:t>37</w:t>
            </w:r>
          </w:p>
        </w:tc>
      </w:tr>
      <w:tr w:rsidR="00FA79F3" w:rsidRPr="00FA79F3" w:rsidTr="00B8013B">
        <w:trPr>
          <w:trHeight w:val="255"/>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FA79F3" w:rsidRPr="00B8013B" w:rsidRDefault="00FA79F3" w:rsidP="00FA79F3">
            <w:pPr>
              <w:spacing w:after="0" w:line="360" w:lineRule="auto"/>
              <w:jc w:val="center"/>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2</w:t>
            </w:r>
          </w:p>
        </w:tc>
        <w:tc>
          <w:tcPr>
            <w:tcW w:w="3663" w:type="dxa"/>
            <w:tcBorders>
              <w:top w:val="nil"/>
              <w:left w:val="nil"/>
              <w:bottom w:val="single" w:sz="4" w:space="0" w:color="auto"/>
              <w:right w:val="single" w:sz="4" w:space="0" w:color="auto"/>
            </w:tcBorders>
            <w:shd w:val="clear" w:color="auto" w:fill="auto"/>
            <w:noWrap/>
            <w:vAlign w:val="bottom"/>
            <w:hideMark/>
          </w:tcPr>
          <w:p w:rsidR="00FA79F3" w:rsidRPr="00B8013B" w:rsidRDefault="00FA79F3" w:rsidP="00FA79F3">
            <w:pPr>
              <w:spacing w:after="0" w:line="360" w:lineRule="auto"/>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Organismo Legislativo</w:t>
            </w:r>
          </w:p>
        </w:tc>
        <w:tc>
          <w:tcPr>
            <w:tcW w:w="2410" w:type="dxa"/>
            <w:tcBorders>
              <w:top w:val="nil"/>
              <w:left w:val="nil"/>
              <w:bottom w:val="single" w:sz="4" w:space="0" w:color="auto"/>
              <w:right w:val="single" w:sz="4" w:space="0" w:color="auto"/>
            </w:tcBorders>
            <w:shd w:val="clear" w:color="auto" w:fill="00B050"/>
            <w:noWrap/>
            <w:vAlign w:val="bottom"/>
            <w:hideMark/>
          </w:tcPr>
          <w:p w:rsidR="00FA79F3" w:rsidRPr="00B8013B" w:rsidRDefault="00FA79F3" w:rsidP="00FA79F3">
            <w:pPr>
              <w:spacing w:after="0" w:line="360" w:lineRule="auto"/>
              <w:jc w:val="center"/>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94.05</w:t>
            </w:r>
          </w:p>
        </w:tc>
        <w:tc>
          <w:tcPr>
            <w:tcW w:w="2551" w:type="dxa"/>
            <w:tcBorders>
              <w:top w:val="nil"/>
              <w:left w:val="nil"/>
              <w:bottom w:val="single" w:sz="4" w:space="0" w:color="auto"/>
              <w:right w:val="single" w:sz="4" w:space="0" w:color="auto"/>
            </w:tcBorders>
            <w:shd w:val="clear" w:color="auto" w:fill="00B050"/>
            <w:noWrap/>
            <w:vAlign w:val="bottom"/>
            <w:hideMark/>
          </w:tcPr>
          <w:p w:rsidR="00FA79F3" w:rsidRPr="00B8013B" w:rsidRDefault="00FA79F3" w:rsidP="00FA79F3">
            <w:pPr>
              <w:spacing w:after="0" w:line="360" w:lineRule="auto"/>
              <w:jc w:val="center"/>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94.05</w:t>
            </w:r>
          </w:p>
        </w:tc>
      </w:tr>
      <w:tr w:rsidR="00FA79F3" w:rsidRPr="00FA79F3" w:rsidTr="00B8013B">
        <w:trPr>
          <w:trHeight w:val="255"/>
        </w:trPr>
        <w:tc>
          <w:tcPr>
            <w:tcW w:w="463" w:type="dxa"/>
            <w:tcBorders>
              <w:top w:val="nil"/>
              <w:left w:val="single" w:sz="4" w:space="0" w:color="auto"/>
              <w:bottom w:val="single" w:sz="4" w:space="0" w:color="auto"/>
              <w:right w:val="single" w:sz="4" w:space="0" w:color="auto"/>
            </w:tcBorders>
            <w:shd w:val="clear" w:color="auto" w:fill="auto"/>
            <w:noWrap/>
            <w:vAlign w:val="bottom"/>
            <w:hideMark/>
          </w:tcPr>
          <w:p w:rsidR="00FA79F3" w:rsidRPr="00B8013B" w:rsidRDefault="00FA79F3" w:rsidP="00FA79F3">
            <w:pPr>
              <w:spacing w:after="0" w:line="360" w:lineRule="auto"/>
              <w:jc w:val="center"/>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3</w:t>
            </w:r>
          </w:p>
        </w:tc>
        <w:tc>
          <w:tcPr>
            <w:tcW w:w="3663" w:type="dxa"/>
            <w:tcBorders>
              <w:top w:val="nil"/>
              <w:left w:val="nil"/>
              <w:bottom w:val="single" w:sz="4" w:space="0" w:color="auto"/>
              <w:right w:val="single" w:sz="4" w:space="0" w:color="auto"/>
            </w:tcBorders>
            <w:shd w:val="clear" w:color="auto" w:fill="auto"/>
            <w:noWrap/>
            <w:vAlign w:val="bottom"/>
            <w:hideMark/>
          </w:tcPr>
          <w:p w:rsidR="00FA79F3" w:rsidRPr="00B8013B" w:rsidRDefault="00FA79F3" w:rsidP="00FA79F3">
            <w:pPr>
              <w:spacing w:after="0" w:line="360" w:lineRule="auto"/>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Organismo Judicial</w:t>
            </w:r>
          </w:p>
        </w:tc>
        <w:tc>
          <w:tcPr>
            <w:tcW w:w="2410" w:type="dxa"/>
            <w:tcBorders>
              <w:top w:val="nil"/>
              <w:left w:val="nil"/>
              <w:bottom w:val="single" w:sz="4" w:space="0" w:color="auto"/>
              <w:right w:val="single" w:sz="4" w:space="0" w:color="auto"/>
            </w:tcBorders>
            <w:shd w:val="clear" w:color="auto" w:fill="FFFF00"/>
            <w:noWrap/>
            <w:vAlign w:val="bottom"/>
            <w:hideMark/>
          </w:tcPr>
          <w:p w:rsidR="00FA79F3" w:rsidRPr="00B8013B" w:rsidRDefault="00FA79F3" w:rsidP="00FA79F3">
            <w:pPr>
              <w:spacing w:after="0" w:line="360" w:lineRule="auto"/>
              <w:jc w:val="center"/>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80.00</w:t>
            </w:r>
          </w:p>
        </w:tc>
        <w:tc>
          <w:tcPr>
            <w:tcW w:w="2551" w:type="dxa"/>
            <w:tcBorders>
              <w:top w:val="nil"/>
              <w:left w:val="nil"/>
              <w:bottom w:val="single" w:sz="4" w:space="0" w:color="auto"/>
              <w:right w:val="single" w:sz="4" w:space="0" w:color="auto"/>
            </w:tcBorders>
            <w:shd w:val="clear" w:color="auto" w:fill="FFFF00"/>
            <w:noWrap/>
            <w:vAlign w:val="bottom"/>
            <w:hideMark/>
          </w:tcPr>
          <w:p w:rsidR="00FA79F3" w:rsidRPr="00B8013B" w:rsidRDefault="00FA79F3" w:rsidP="00FA79F3">
            <w:pPr>
              <w:spacing w:after="0" w:line="360" w:lineRule="auto"/>
              <w:jc w:val="center"/>
              <w:rPr>
                <w:rFonts w:ascii="Times New Roman" w:eastAsia="Times New Roman" w:hAnsi="Times New Roman" w:cs="Times New Roman"/>
                <w:color w:val="000000"/>
                <w:sz w:val="20"/>
                <w:szCs w:val="20"/>
                <w:lang w:eastAsia="es-GT"/>
              </w:rPr>
            </w:pPr>
            <w:r w:rsidRPr="00B8013B">
              <w:rPr>
                <w:rFonts w:ascii="Times New Roman" w:eastAsia="Times New Roman" w:hAnsi="Times New Roman" w:cs="Times New Roman"/>
                <w:color w:val="000000"/>
                <w:sz w:val="20"/>
                <w:szCs w:val="20"/>
                <w:lang w:eastAsia="es-GT"/>
              </w:rPr>
              <w:t>83.33</w:t>
            </w:r>
          </w:p>
        </w:tc>
      </w:tr>
    </w:tbl>
    <w:p w:rsidR="00040E8A" w:rsidRDefault="00040E8A" w:rsidP="00525343">
      <w:pPr>
        <w:spacing w:after="0" w:line="240" w:lineRule="auto"/>
        <w:jc w:val="both"/>
        <w:rPr>
          <w:rFonts w:ascii="Times New Roman" w:hAnsi="Times New Roman" w:cs="Times New Roman"/>
          <w:b/>
          <w:sz w:val="18"/>
          <w:szCs w:val="18"/>
        </w:rPr>
      </w:pPr>
    </w:p>
    <w:p w:rsidR="00FA79F3" w:rsidRPr="000D22C0" w:rsidRDefault="00FA79F3" w:rsidP="00525343">
      <w:pPr>
        <w:spacing w:after="0" w:line="240" w:lineRule="auto"/>
        <w:jc w:val="both"/>
        <w:rPr>
          <w:rFonts w:ascii="Times New Roman" w:hAnsi="Times New Roman" w:cs="Times New Roman"/>
          <w:sz w:val="18"/>
          <w:szCs w:val="18"/>
        </w:rPr>
      </w:pPr>
      <w:r w:rsidRPr="000D22C0">
        <w:rPr>
          <w:rFonts w:ascii="Times New Roman" w:hAnsi="Times New Roman" w:cs="Times New Roman"/>
          <w:b/>
          <w:sz w:val="18"/>
          <w:szCs w:val="18"/>
        </w:rPr>
        <w:t>Fuente</w:t>
      </w:r>
      <w:r w:rsidRPr="000D22C0">
        <w:rPr>
          <w:rFonts w:ascii="Times New Roman" w:hAnsi="Times New Roman" w:cs="Times New Roman"/>
          <w:sz w:val="18"/>
          <w:szCs w:val="18"/>
        </w:rPr>
        <w:t>: elaboración propia con base a supervisiones realizadas por SECAI.</w:t>
      </w:r>
    </w:p>
    <w:p w:rsidR="00FA79F3" w:rsidRDefault="00FA79F3" w:rsidP="00FA79F3">
      <w:pPr>
        <w:spacing w:after="0" w:line="240" w:lineRule="auto"/>
        <w:jc w:val="both"/>
        <w:rPr>
          <w:rFonts w:ascii="Times New Roman" w:hAnsi="Times New Roman" w:cs="Times New Roman"/>
          <w:sz w:val="24"/>
          <w:szCs w:val="24"/>
        </w:rPr>
      </w:pPr>
    </w:p>
    <w:p w:rsidR="00FA79F3" w:rsidRDefault="00FA79F3" w:rsidP="00FA79F3">
      <w:pPr>
        <w:spacing w:after="0" w:line="240" w:lineRule="auto"/>
        <w:jc w:val="both"/>
        <w:rPr>
          <w:rFonts w:ascii="Times New Roman" w:hAnsi="Times New Roman" w:cs="Times New Roman"/>
          <w:sz w:val="24"/>
          <w:szCs w:val="24"/>
        </w:rPr>
      </w:pPr>
    </w:p>
    <w:p w:rsidR="00FA79F3" w:rsidRPr="0032626C" w:rsidRDefault="00FA79F3" w:rsidP="0032626C">
      <w:pPr>
        <w:pStyle w:val="Ttulo2"/>
        <w:rPr>
          <w:rFonts w:ascii="Times New Roman" w:hAnsi="Times New Roman" w:cs="Times New Roman"/>
          <w:b/>
          <w:color w:val="auto"/>
          <w:sz w:val="24"/>
          <w:szCs w:val="24"/>
        </w:rPr>
      </w:pPr>
      <w:bookmarkStart w:id="54" w:name="_Toc60223893"/>
      <w:r w:rsidRPr="0032626C">
        <w:rPr>
          <w:rFonts w:ascii="Times New Roman" w:hAnsi="Times New Roman" w:cs="Times New Roman"/>
          <w:b/>
          <w:color w:val="auto"/>
          <w:sz w:val="24"/>
          <w:szCs w:val="24"/>
        </w:rPr>
        <w:t xml:space="preserve">Gráfica </w:t>
      </w:r>
      <w:r w:rsidR="00B8013B" w:rsidRPr="0032626C">
        <w:rPr>
          <w:rFonts w:ascii="Times New Roman" w:hAnsi="Times New Roman" w:cs="Times New Roman"/>
          <w:b/>
          <w:color w:val="auto"/>
          <w:sz w:val="24"/>
          <w:szCs w:val="24"/>
        </w:rPr>
        <w:t>comparativa d</w:t>
      </w:r>
      <w:r w:rsidRPr="0032626C">
        <w:rPr>
          <w:rFonts w:ascii="Times New Roman" w:hAnsi="Times New Roman" w:cs="Times New Roman"/>
          <w:b/>
          <w:color w:val="auto"/>
          <w:sz w:val="24"/>
          <w:szCs w:val="24"/>
        </w:rPr>
        <w:t>el nivel de cumplimiento general de los portales electrónicos de los organismos del Estado</w:t>
      </w:r>
      <w:r w:rsidR="00B8013B" w:rsidRPr="0032626C">
        <w:rPr>
          <w:rFonts w:ascii="Times New Roman" w:hAnsi="Times New Roman" w:cs="Times New Roman"/>
          <w:b/>
          <w:color w:val="auto"/>
          <w:sz w:val="24"/>
          <w:szCs w:val="24"/>
        </w:rPr>
        <w:t xml:space="preserve"> en los años 2019-2020</w:t>
      </w:r>
      <w:r w:rsidRPr="0032626C">
        <w:rPr>
          <w:rFonts w:ascii="Times New Roman" w:hAnsi="Times New Roman" w:cs="Times New Roman"/>
          <w:b/>
          <w:color w:val="auto"/>
          <w:sz w:val="24"/>
          <w:szCs w:val="24"/>
        </w:rPr>
        <w:t>.</w:t>
      </w:r>
      <w:bookmarkEnd w:id="54"/>
    </w:p>
    <w:p w:rsidR="000D22C0" w:rsidRDefault="00FA79F3" w:rsidP="00525343">
      <w:pPr>
        <w:spacing w:after="0"/>
        <w:rPr>
          <w:rFonts w:ascii="Times New Roman" w:hAnsi="Times New Roman" w:cs="Times New Roman"/>
          <w:sz w:val="24"/>
          <w:szCs w:val="24"/>
        </w:rPr>
      </w:pPr>
      <w:r>
        <w:rPr>
          <w:noProof/>
          <w:lang w:eastAsia="es-GT"/>
        </w:rPr>
        <w:drawing>
          <wp:inline distT="0" distB="0" distL="0" distR="0" wp14:anchorId="7EB37148" wp14:editId="450DDD0E">
            <wp:extent cx="5759532" cy="2743200"/>
            <wp:effectExtent l="0" t="0" r="12700"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0E8A" w:rsidRDefault="00040E8A" w:rsidP="00525343">
      <w:pPr>
        <w:spacing w:after="0" w:line="240" w:lineRule="auto"/>
        <w:jc w:val="both"/>
        <w:rPr>
          <w:rFonts w:ascii="Times New Roman" w:hAnsi="Times New Roman" w:cs="Times New Roman"/>
          <w:b/>
          <w:sz w:val="18"/>
          <w:szCs w:val="18"/>
        </w:rPr>
      </w:pPr>
    </w:p>
    <w:p w:rsidR="00525343" w:rsidRPr="000D22C0" w:rsidRDefault="00525343" w:rsidP="00525343">
      <w:pPr>
        <w:spacing w:after="0" w:line="240" w:lineRule="auto"/>
        <w:jc w:val="both"/>
        <w:rPr>
          <w:rFonts w:ascii="Times New Roman" w:hAnsi="Times New Roman" w:cs="Times New Roman"/>
          <w:sz w:val="18"/>
          <w:szCs w:val="18"/>
        </w:rPr>
      </w:pPr>
      <w:r w:rsidRPr="000D22C0">
        <w:rPr>
          <w:rFonts w:ascii="Times New Roman" w:hAnsi="Times New Roman" w:cs="Times New Roman"/>
          <w:b/>
          <w:sz w:val="18"/>
          <w:szCs w:val="18"/>
        </w:rPr>
        <w:t>Fuente</w:t>
      </w:r>
      <w:r w:rsidRPr="000D22C0">
        <w:rPr>
          <w:rFonts w:ascii="Times New Roman" w:hAnsi="Times New Roman" w:cs="Times New Roman"/>
          <w:sz w:val="18"/>
          <w:szCs w:val="18"/>
        </w:rPr>
        <w:t>: elaboración propia con base a supervisiones realizadas por SECAI.</w:t>
      </w:r>
    </w:p>
    <w:p w:rsidR="000D22C0" w:rsidRDefault="000D22C0">
      <w:pPr>
        <w:rPr>
          <w:rFonts w:ascii="Times New Roman" w:hAnsi="Times New Roman" w:cs="Times New Roman"/>
          <w:sz w:val="24"/>
          <w:szCs w:val="24"/>
        </w:rPr>
      </w:pPr>
    </w:p>
    <w:p w:rsidR="000D22C0" w:rsidRDefault="00C1158A" w:rsidP="00B8013B">
      <w:pPr>
        <w:jc w:val="both"/>
        <w:rPr>
          <w:rFonts w:ascii="Times New Roman" w:hAnsi="Times New Roman" w:cs="Times New Roman"/>
          <w:sz w:val="24"/>
          <w:szCs w:val="24"/>
        </w:rPr>
      </w:pPr>
      <w:r>
        <w:rPr>
          <w:rFonts w:ascii="Times New Roman" w:hAnsi="Times New Roman" w:cs="Times New Roman"/>
          <w:sz w:val="24"/>
          <w:szCs w:val="24"/>
        </w:rPr>
        <w:t xml:space="preserve">Según la gráfica anterior se puede verificar que hubo un avance significativo del nivel de cumplimiento en el año 2020 en las entidades del Organismo Ejecutivo en comparación al 2019, pasando de color rojo </w:t>
      </w:r>
      <w:r w:rsidR="00B8013B">
        <w:rPr>
          <w:rFonts w:ascii="Times New Roman" w:hAnsi="Times New Roman" w:cs="Times New Roman"/>
          <w:sz w:val="24"/>
          <w:szCs w:val="24"/>
        </w:rPr>
        <w:t>un cumplimiento</w:t>
      </w:r>
      <w:r>
        <w:rPr>
          <w:rFonts w:ascii="Times New Roman" w:hAnsi="Times New Roman" w:cs="Times New Roman"/>
          <w:sz w:val="24"/>
          <w:szCs w:val="24"/>
        </w:rPr>
        <w:t xml:space="preserve"> deficiente a color amarillo </w:t>
      </w:r>
      <w:r w:rsidR="00B8013B">
        <w:rPr>
          <w:rFonts w:ascii="Times New Roman" w:hAnsi="Times New Roman" w:cs="Times New Roman"/>
          <w:sz w:val="24"/>
          <w:szCs w:val="24"/>
        </w:rPr>
        <w:t xml:space="preserve">un cumplimiento bajo </w:t>
      </w:r>
      <w:r>
        <w:rPr>
          <w:rFonts w:ascii="Times New Roman" w:hAnsi="Times New Roman" w:cs="Times New Roman"/>
          <w:sz w:val="24"/>
          <w:szCs w:val="24"/>
        </w:rPr>
        <w:t xml:space="preserve">que significa </w:t>
      </w:r>
      <w:r w:rsidR="00B8013B">
        <w:rPr>
          <w:rFonts w:ascii="Times New Roman" w:hAnsi="Times New Roman" w:cs="Times New Roman"/>
          <w:sz w:val="24"/>
          <w:szCs w:val="24"/>
        </w:rPr>
        <w:t xml:space="preserve">igual o superior a </w:t>
      </w:r>
      <w:r>
        <w:rPr>
          <w:rFonts w:ascii="Times New Roman" w:hAnsi="Times New Roman" w:cs="Times New Roman"/>
          <w:sz w:val="24"/>
          <w:szCs w:val="24"/>
        </w:rPr>
        <w:t>60% pero por debajo de 85%</w:t>
      </w:r>
      <w:r w:rsidR="00B8013B">
        <w:rPr>
          <w:rFonts w:ascii="Times New Roman" w:hAnsi="Times New Roman" w:cs="Times New Roman"/>
          <w:sz w:val="24"/>
          <w:szCs w:val="24"/>
        </w:rPr>
        <w:t>; sin embargo se debe resaltar, que si bien hubo una mejora, es importante continuar con el seguimiento correspondiente para lograr alcanzar un cumplimiento aceptable, que debe ser igual o superior al 85%.</w:t>
      </w:r>
    </w:p>
    <w:p w:rsidR="000D22C0" w:rsidRDefault="000D22C0">
      <w:pPr>
        <w:rPr>
          <w:rFonts w:ascii="Times New Roman" w:hAnsi="Times New Roman" w:cs="Times New Roman"/>
          <w:sz w:val="24"/>
          <w:szCs w:val="24"/>
        </w:rPr>
      </w:pPr>
    </w:p>
    <w:p w:rsidR="00A57497" w:rsidRPr="0032626C" w:rsidRDefault="00A57497" w:rsidP="0032626C">
      <w:pPr>
        <w:pStyle w:val="Ttulo2"/>
        <w:rPr>
          <w:rFonts w:ascii="Times New Roman" w:hAnsi="Times New Roman" w:cs="Times New Roman"/>
          <w:b/>
          <w:color w:val="auto"/>
          <w:sz w:val="24"/>
          <w:szCs w:val="24"/>
        </w:rPr>
      </w:pPr>
      <w:bookmarkStart w:id="55" w:name="_Toc60223894"/>
      <w:bookmarkEnd w:id="49"/>
      <w:r w:rsidRPr="0032626C">
        <w:rPr>
          <w:rFonts w:ascii="Times New Roman" w:hAnsi="Times New Roman" w:cs="Times New Roman"/>
          <w:b/>
          <w:color w:val="auto"/>
          <w:sz w:val="24"/>
          <w:szCs w:val="24"/>
        </w:rPr>
        <w:lastRenderedPageBreak/>
        <w:t>O</w:t>
      </w:r>
      <w:r w:rsidR="00054D12" w:rsidRPr="0032626C">
        <w:rPr>
          <w:rFonts w:ascii="Times New Roman" w:hAnsi="Times New Roman" w:cs="Times New Roman"/>
          <w:b/>
          <w:color w:val="auto"/>
          <w:sz w:val="24"/>
          <w:szCs w:val="24"/>
        </w:rPr>
        <w:t>rganismo Ejecutivo</w:t>
      </w:r>
      <w:bookmarkEnd w:id="55"/>
    </w:p>
    <w:p w:rsidR="00054D12" w:rsidRPr="00054D12" w:rsidRDefault="00054D12" w:rsidP="00054D12">
      <w:pPr>
        <w:spacing w:after="0"/>
        <w:jc w:val="both"/>
        <w:rPr>
          <w:rFonts w:ascii="Times New Roman" w:hAnsi="Times New Roman" w:cs="Times New Roman"/>
          <w:sz w:val="24"/>
          <w:szCs w:val="24"/>
        </w:rPr>
      </w:pPr>
      <w:r w:rsidRPr="00054D12">
        <w:rPr>
          <w:rFonts w:ascii="Times New Roman" w:hAnsi="Times New Roman" w:cs="Times New Roman"/>
          <w:sz w:val="24"/>
          <w:szCs w:val="24"/>
        </w:rPr>
        <w:t>Se supervisaron un total de 70 dependencias del Organismo Ejecutivo entre ellas 14 ministerios, 17 secretarías, 22 gobernaciones departamentales y 17 otras dependencias del ejecutivo, de las cuales se evaluaron un total de 95 portales electrónicos, puesto que el Ministerio de Comunicaciones, Infraestructura y Vivienda cuenta con 15 dependencias cada una con un portal electrónico propio en el que se publica la información de oficio, el Ministerio de Salud Pública y Asistencia Social con 3 portales electrónicos, el Ministerio de Gobernación con 6 apartados para la publicación de la información de sus dependencias y el Ministerio de Cultura y Deportes con 5 apartados para la publicación de la información de oficio de sus dependencias.</w:t>
      </w:r>
    </w:p>
    <w:p w:rsidR="00054D12" w:rsidRPr="00054D12" w:rsidRDefault="00054D12" w:rsidP="00054D12">
      <w:pPr>
        <w:spacing w:after="0"/>
        <w:jc w:val="both"/>
        <w:rPr>
          <w:rFonts w:ascii="Times New Roman" w:hAnsi="Times New Roman" w:cs="Times New Roman"/>
          <w:sz w:val="24"/>
          <w:szCs w:val="24"/>
        </w:rPr>
      </w:pPr>
    </w:p>
    <w:p w:rsidR="00054D12" w:rsidRPr="00054D12" w:rsidRDefault="00054D12" w:rsidP="00054D12">
      <w:pPr>
        <w:spacing w:after="0"/>
        <w:jc w:val="both"/>
        <w:rPr>
          <w:rFonts w:ascii="Times New Roman" w:hAnsi="Times New Roman" w:cs="Times New Roman"/>
          <w:sz w:val="24"/>
          <w:szCs w:val="24"/>
        </w:rPr>
      </w:pPr>
      <w:r w:rsidRPr="00054D12">
        <w:rPr>
          <w:rFonts w:ascii="Times New Roman" w:hAnsi="Times New Roman" w:cs="Times New Roman"/>
          <w:sz w:val="24"/>
          <w:szCs w:val="24"/>
        </w:rPr>
        <w:t xml:space="preserve">En el año 2020 se realizaron dos supervisiones a las entidades del Organismo Ejecutivo, en cuanto a la publicación de la información de oficio según los artículos 10 y 11 de la Ley de Acceso a la Información Pública aplicables a este organismo del Estado; la primera supervisión en el primer cuatrimestre del año y la segunda en el último cuatrimestre, de las cuales en la primera supervisión se obtuvo un promedio de cumplimiento de 65.38% de todo el Organismo Ejecutivo y en la segunda supervisión un promedio de cumplimiento de </w:t>
      </w:r>
      <w:r w:rsidR="007111F0" w:rsidRPr="000A7FB0">
        <w:rPr>
          <w:rFonts w:ascii="Times New Roman" w:hAnsi="Times New Roman" w:cs="Times New Roman"/>
          <w:sz w:val="24"/>
          <w:szCs w:val="24"/>
        </w:rPr>
        <w:t>70</w:t>
      </w:r>
      <w:r w:rsidRPr="000A7FB0">
        <w:rPr>
          <w:rFonts w:ascii="Times New Roman" w:hAnsi="Times New Roman" w:cs="Times New Roman"/>
          <w:sz w:val="24"/>
          <w:szCs w:val="24"/>
        </w:rPr>
        <w:t>.3</w:t>
      </w:r>
      <w:r w:rsidR="007111F0" w:rsidRPr="000A7FB0">
        <w:rPr>
          <w:rFonts w:ascii="Times New Roman" w:hAnsi="Times New Roman" w:cs="Times New Roman"/>
          <w:sz w:val="24"/>
          <w:szCs w:val="24"/>
        </w:rPr>
        <w:t>7</w:t>
      </w:r>
      <w:r w:rsidRPr="000A7FB0">
        <w:rPr>
          <w:rFonts w:ascii="Times New Roman" w:hAnsi="Times New Roman" w:cs="Times New Roman"/>
          <w:sz w:val="24"/>
          <w:szCs w:val="24"/>
        </w:rPr>
        <w:t>%.</w:t>
      </w:r>
    </w:p>
    <w:p w:rsidR="00054D12" w:rsidRPr="00054D12" w:rsidRDefault="00054D12" w:rsidP="00054D12">
      <w:pPr>
        <w:spacing w:after="0"/>
        <w:jc w:val="both"/>
        <w:rPr>
          <w:rFonts w:ascii="Times New Roman" w:hAnsi="Times New Roman" w:cs="Times New Roman"/>
          <w:sz w:val="24"/>
          <w:szCs w:val="24"/>
        </w:rPr>
      </w:pPr>
    </w:p>
    <w:p w:rsidR="00054D12" w:rsidRPr="00054D12" w:rsidRDefault="00054D12" w:rsidP="00054D12">
      <w:pPr>
        <w:spacing w:after="0"/>
        <w:jc w:val="both"/>
        <w:rPr>
          <w:rFonts w:ascii="Times New Roman" w:hAnsi="Times New Roman" w:cs="Times New Roman"/>
          <w:sz w:val="24"/>
          <w:szCs w:val="24"/>
        </w:rPr>
      </w:pPr>
      <w:r w:rsidRPr="00054D12">
        <w:rPr>
          <w:rFonts w:ascii="Times New Roman" w:hAnsi="Times New Roman" w:cs="Times New Roman"/>
          <w:sz w:val="24"/>
          <w:szCs w:val="24"/>
        </w:rPr>
        <w:t>También se deben resaltar los siguientes resultados:</w:t>
      </w:r>
    </w:p>
    <w:p w:rsidR="00A57497" w:rsidRPr="008064EB" w:rsidRDefault="00A57497" w:rsidP="008064EB">
      <w:pPr>
        <w:spacing w:after="0"/>
        <w:rPr>
          <w:rFonts w:ascii="Times New Roman" w:hAnsi="Times New Roman" w:cs="Times New Roman"/>
          <w:sz w:val="24"/>
          <w:szCs w:val="24"/>
        </w:rPr>
      </w:pPr>
    </w:p>
    <w:p w:rsidR="008064EB" w:rsidRDefault="008064EB" w:rsidP="008064EB">
      <w:pPr>
        <w:spacing w:after="0"/>
        <w:jc w:val="both"/>
        <w:rPr>
          <w:rFonts w:ascii="Times New Roman" w:hAnsi="Times New Roman" w:cs="Times New Roman"/>
          <w:b/>
          <w:sz w:val="24"/>
          <w:szCs w:val="24"/>
        </w:rPr>
      </w:pPr>
      <w:r w:rsidRPr="008064EB">
        <w:rPr>
          <w:rFonts w:ascii="Times New Roman" w:hAnsi="Times New Roman" w:cs="Times New Roman"/>
          <w:b/>
          <w:sz w:val="24"/>
          <w:szCs w:val="24"/>
        </w:rPr>
        <w:t>Las 10 entidades que mejoraron más su nivel de cumplimiento du</w:t>
      </w:r>
      <w:r w:rsidR="002248C8">
        <w:rPr>
          <w:rFonts w:ascii="Times New Roman" w:hAnsi="Times New Roman" w:cs="Times New Roman"/>
          <w:b/>
          <w:sz w:val="24"/>
          <w:szCs w:val="24"/>
        </w:rPr>
        <w:t>rante el año 2020</w:t>
      </w:r>
    </w:p>
    <w:p w:rsidR="002248C8" w:rsidRPr="008064EB" w:rsidRDefault="002248C8" w:rsidP="008064EB">
      <w:pPr>
        <w:spacing w:after="0"/>
        <w:jc w:val="both"/>
        <w:rPr>
          <w:rFonts w:ascii="Times New Roman" w:hAnsi="Times New Roman" w:cs="Times New Roman"/>
          <w:b/>
          <w:sz w:val="24"/>
          <w:szCs w:val="24"/>
        </w:rPr>
      </w:pPr>
    </w:p>
    <w:tbl>
      <w:tblPr>
        <w:tblW w:w="8891" w:type="dxa"/>
        <w:tblInd w:w="55" w:type="dxa"/>
        <w:tblCellMar>
          <w:left w:w="70" w:type="dxa"/>
          <w:right w:w="70" w:type="dxa"/>
        </w:tblCellMar>
        <w:tblLook w:val="04A0" w:firstRow="1" w:lastRow="0" w:firstColumn="1" w:lastColumn="0" w:noHBand="0" w:noVBand="1"/>
      </w:tblPr>
      <w:tblGrid>
        <w:gridCol w:w="463"/>
        <w:gridCol w:w="4372"/>
        <w:gridCol w:w="1474"/>
        <w:gridCol w:w="1474"/>
        <w:gridCol w:w="1108"/>
      </w:tblGrid>
      <w:tr w:rsidR="004324AE" w:rsidRPr="002248BA" w:rsidTr="0030326B">
        <w:trPr>
          <w:trHeight w:val="1275"/>
        </w:trPr>
        <w:tc>
          <w:tcPr>
            <w:tcW w:w="463"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No.</w:t>
            </w:r>
          </w:p>
        </w:tc>
        <w:tc>
          <w:tcPr>
            <w:tcW w:w="4372" w:type="dxa"/>
            <w:tcBorders>
              <w:top w:val="single" w:sz="4" w:space="0" w:color="auto"/>
              <w:left w:val="nil"/>
              <w:bottom w:val="single" w:sz="4" w:space="0" w:color="auto"/>
              <w:right w:val="single" w:sz="4" w:space="0" w:color="auto"/>
            </w:tcBorders>
            <w:shd w:val="clear" w:color="000000" w:fill="538DD5"/>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Entidad</w:t>
            </w:r>
          </w:p>
        </w:tc>
        <w:tc>
          <w:tcPr>
            <w:tcW w:w="1474" w:type="dxa"/>
            <w:tcBorders>
              <w:top w:val="single" w:sz="4" w:space="0" w:color="auto"/>
              <w:left w:val="nil"/>
              <w:bottom w:val="single" w:sz="4" w:space="0" w:color="auto"/>
              <w:right w:val="single" w:sz="4" w:space="0" w:color="auto"/>
            </w:tcBorders>
            <w:shd w:val="clear" w:color="000000" w:fill="538DD5"/>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Nivel de Cumplimiento Primera Supervisión 2020</w:t>
            </w:r>
          </w:p>
        </w:tc>
        <w:tc>
          <w:tcPr>
            <w:tcW w:w="1474" w:type="dxa"/>
            <w:tcBorders>
              <w:top w:val="single" w:sz="4" w:space="0" w:color="auto"/>
              <w:left w:val="nil"/>
              <w:bottom w:val="single" w:sz="4" w:space="0" w:color="auto"/>
              <w:right w:val="single" w:sz="4" w:space="0" w:color="auto"/>
            </w:tcBorders>
            <w:shd w:val="clear" w:color="000000" w:fill="538DD5"/>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Nivel de Cumplimiento Segunda Supervisión 2020</w:t>
            </w:r>
          </w:p>
        </w:tc>
        <w:tc>
          <w:tcPr>
            <w:tcW w:w="1108" w:type="dxa"/>
            <w:tcBorders>
              <w:top w:val="single" w:sz="4" w:space="0" w:color="auto"/>
              <w:left w:val="nil"/>
              <w:bottom w:val="single" w:sz="4" w:space="0" w:color="auto"/>
              <w:right w:val="single" w:sz="4" w:space="0" w:color="auto"/>
            </w:tcBorders>
            <w:shd w:val="clear" w:color="000000" w:fill="538DD5"/>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Diferencia</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1</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Gobernación Departamental de Baja Verapaz</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51.35</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97.22</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45.87</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2</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Gobernación Departamental de Zacapa</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31.25</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74.24</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42.99</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3</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Autoridad para el Manejo Sustentable de la Cuenca y del Lago de Amatitlán</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30.77</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73.08</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42.31</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4</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Gobernación Departamental de Peten</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21.95</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48.75</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26.80</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5</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Secretaría Ejecutiva de la Comisión contra las Adicciones y el Tráfico Ilícito de Drogas</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44.74</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70.59</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25.85</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6</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Gobernación Departamental de Izabal</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45.16</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68.75</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23.59</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7</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Secretaría Nacional de Ciencia y Tecnología</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69.23</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92.31</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23.08</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8</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Secretaría de Coordinación Ejecutiva de la Presidencia</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60.29</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81.25</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20.96</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9</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Ministerio de Cultura y Deportes.</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77.54</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97.20</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19.66</w:t>
            </w:r>
          </w:p>
        </w:tc>
      </w:tr>
      <w:tr w:rsidR="004324AE"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10</w:t>
            </w:r>
          </w:p>
        </w:tc>
        <w:tc>
          <w:tcPr>
            <w:tcW w:w="4372" w:type="dxa"/>
            <w:tcBorders>
              <w:top w:val="nil"/>
              <w:left w:val="nil"/>
              <w:bottom w:val="single" w:sz="4" w:space="0" w:color="auto"/>
              <w:right w:val="single" w:sz="4" w:space="0" w:color="auto"/>
            </w:tcBorders>
            <w:shd w:val="clear" w:color="auto" w:fill="auto"/>
            <w:noWrap/>
            <w:vAlign w:val="center"/>
            <w:hideMark/>
          </w:tcPr>
          <w:p w:rsidR="004324AE" w:rsidRPr="002248BA" w:rsidRDefault="004324AE"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Ministerio de Economía.</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62.79</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4324AE" w:rsidRPr="002248BA" w:rsidRDefault="004324AE"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82.05</w:t>
            </w:r>
          </w:p>
        </w:tc>
        <w:tc>
          <w:tcPr>
            <w:tcW w:w="1108" w:type="dxa"/>
            <w:tcBorders>
              <w:top w:val="nil"/>
              <w:left w:val="nil"/>
              <w:bottom w:val="single" w:sz="4" w:space="0" w:color="auto"/>
              <w:right w:val="single" w:sz="4" w:space="0" w:color="auto"/>
            </w:tcBorders>
            <w:shd w:val="clear" w:color="auto" w:fill="auto"/>
            <w:noWrap/>
            <w:vAlign w:val="bottom"/>
            <w:hideMark/>
          </w:tcPr>
          <w:p w:rsidR="004324AE" w:rsidRPr="002248BA" w:rsidRDefault="004324AE"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19.26</w:t>
            </w:r>
          </w:p>
        </w:tc>
      </w:tr>
    </w:tbl>
    <w:p w:rsidR="00040E8A" w:rsidRDefault="00040E8A" w:rsidP="008064EB">
      <w:pPr>
        <w:spacing w:after="0"/>
        <w:jc w:val="both"/>
        <w:rPr>
          <w:rFonts w:ascii="Times New Roman" w:hAnsi="Times New Roman" w:cs="Times New Roman"/>
          <w:b/>
          <w:sz w:val="18"/>
          <w:szCs w:val="18"/>
        </w:rPr>
      </w:pPr>
    </w:p>
    <w:p w:rsidR="008064EB" w:rsidRPr="008064EB" w:rsidRDefault="008064EB" w:rsidP="008064EB">
      <w:pPr>
        <w:spacing w:after="0"/>
        <w:jc w:val="both"/>
        <w:rPr>
          <w:rFonts w:ascii="Times New Roman" w:hAnsi="Times New Roman" w:cs="Times New Roman"/>
          <w:sz w:val="18"/>
          <w:szCs w:val="18"/>
        </w:rPr>
      </w:pPr>
      <w:r w:rsidRPr="008064EB">
        <w:rPr>
          <w:rFonts w:ascii="Times New Roman" w:hAnsi="Times New Roman" w:cs="Times New Roman"/>
          <w:b/>
          <w:sz w:val="18"/>
          <w:szCs w:val="18"/>
        </w:rPr>
        <w:t>Fuente:</w:t>
      </w:r>
      <w:r w:rsidRPr="008064EB">
        <w:rPr>
          <w:rFonts w:ascii="Times New Roman" w:hAnsi="Times New Roman" w:cs="Times New Roman"/>
          <w:sz w:val="18"/>
          <w:szCs w:val="18"/>
        </w:rPr>
        <w:t xml:space="preserve"> Datos propios de SECAI obtenidos de supervisiones a portales electrónicos durante el año 2020.</w:t>
      </w:r>
    </w:p>
    <w:p w:rsidR="008064EB" w:rsidRPr="008064EB" w:rsidRDefault="008064EB" w:rsidP="008064EB">
      <w:pPr>
        <w:spacing w:after="0"/>
        <w:jc w:val="both"/>
        <w:rPr>
          <w:rFonts w:ascii="Times New Roman" w:hAnsi="Times New Roman" w:cs="Times New Roman"/>
          <w:sz w:val="24"/>
          <w:szCs w:val="24"/>
        </w:rPr>
      </w:pPr>
    </w:p>
    <w:p w:rsidR="008064EB" w:rsidRPr="008064EB" w:rsidRDefault="008064EB" w:rsidP="008064EB">
      <w:pPr>
        <w:spacing w:after="0"/>
        <w:jc w:val="both"/>
        <w:rPr>
          <w:rFonts w:ascii="Times New Roman" w:hAnsi="Times New Roman" w:cs="Times New Roman"/>
          <w:sz w:val="24"/>
          <w:szCs w:val="24"/>
        </w:rPr>
      </w:pPr>
      <w:r w:rsidRPr="008064EB">
        <w:rPr>
          <w:rFonts w:ascii="Times New Roman" w:hAnsi="Times New Roman" w:cs="Times New Roman"/>
          <w:sz w:val="24"/>
          <w:szCs w:val="24"/>
        </w:rPr>
        <w:t xml:space="preserve">Como se puede observar en el cuadro anterior la mayoría de estas diez entidades se encontraban en color rojo lo que representa un nivel deficiente de cumplimiento y la mayoría de ellas para el año 2020 mejoraron significativamente, sin </w:t>
      </w:r>
      <w:r w:rsidR="00040E8A" w:rsidRPr="008064EB">
        <w:rPr>
          <w:rFonts w:ascii="Times New Roman" w:hAnsi="Times New Roman" w:cs="Times New Roman"/>
          <w:sz w:val="24"/>
          <w:szCs w:val="24"/>
        </w:rPr>
        <w:t>embargo,</w:t>
      </w:r>
      <w:r w:rsidRPr="008064EB">
        <w:rPr>
          <w:rFonts w:ascii="Times New Roman" w:hAnsi="Times New Roman" w:cs="Times New Roman"/>
          <w:sz w:val="24"/>
          <w:szCs w:val="24"/>
        </w:rPr>
        <w:t xml:space="preserve"> solamente dos de ellas </w:t>
      </w:r>
      <w:r w:rsidRPr="008064EB">
        <w:rPr>
          <w:rFonts w:ascii="Times New Roman" w:hAnsi="Times New Roman" w:cs="Times New Roman"/>
          <w:sz w:val="24"/>
          <w:szCs w:val="24"/>
        </w:rPr>
        <w:lastRenderedPageBreak/>
        <w:t>en color verde alcanzaron un nivel aceptable, datos que demuestran la importancia de continuar dando seguimiento a las mismas para alcanzar niveles aceptables.</w:t>
      </w:r>
    </w:p>
    <w:p w:rsidR="00040E8A" w:rsidRPr="008064EB" w:rsidRDefault="00040E8A" w:rsidP="008064EB">
      <w:pPr>
        <w:spacing w:after="0"/>
        <w:jc w:val="both"/>
        <w:rPr>
          <w:rFonts w:ascii="Times New Roman" w:hAnsi="Times New Roman" w:cs="Times New Roman"/>
          <w:sz w:val="24"/>
          <w:szCs w:val="24"/>
        </w:rPr>
      </w:pPr>
    </w:p>
    <w:p w:rsidR="008064EB" w:rsidRDefault="008064EB" w:rsidP="008064EB">
      <w:pPr>
        <w:spacing w:after="0"/>
        <w:jc w:val="both"/>
        <w:rPr>
          <w:rFonts w:ascii="Times New Roman" w:hAnsi="Times New Roman" w:cs="Times New Roman"/>
          <w:b/>
          <w:sz w:val="24"/>
          <w:szCs w:val="24"/>
        </w:rPr>
      </w:pPr>
      <w:r w:rsidRPr="008064EB">
        <w:rPr>
          <w:rFonts w:ascii="Times New Roman" w:hAnsi="Times New Roman" w:cs="Times New Roman"/>
          <w:b/>
          <w:sz w:val="24"/>
          <w:szCs w:val="24"/>
        </w:rPr>
        <w:t>Las 10 entidades que bajaron más su nivel de c</w:t>
      </w:r>
      <w:r w:rsidR="00040E8A">
        <w:rPr>
          <w:rFonts w:ascii="Times New Roman" w:hAnsi="Times New Roman" w:cs="Times New Roman"/>
          <w:b/>
          <w:sz w:val="24"/>
          <w:szCs w:val="24"/>
        </w:rPr>
        <w:t>umplimiento durante el año 2020</w:t>
      </w:r>
    </w:p>
    <w:p w:rsidR="00040E8A" w:rsidRPr="008064EB" w:rsidRDefault="00040E8A" w:rsidP="008064EB">
      <w:pPr>
        <w:spacing w:after="0"/>
        <w:jc w:val="both"/>
        <w:rPr>
          <w:rFonts w:ascii="Times New Roman" w:hAnsi="Times New Roman" w:cs="Times New Roman"/>
          <w:b/>
          <w:sz w:val="24"/>
          <w:szCs w:val="24"/>
        </w:rPr>
      </w:pPr>
    </w:p>
    <w:tbl>
      <w:tblPr>
        <w:tblW w:w="8891" w:type="dxa"/>
        <w:tblInd w:w="55" w:type="dxa"/>
        <w:tblCellMar>
          <w:left w:w="70" w:type="dxa"/>
          <w:right w:w="70" w:type="dxa"/>
        </w:tblCellMar>
        <w:tblLook w:val="04A0" w:firstRow="1" w:lastRow="0" w:firstColumn="1" w:lastColumn="0" w:noHBand="0" w:noVBand="1"/>
      </w:tblPr>
      <w:tblGrid>
        <w:gridCol w:w="463"/>
        <w:gridCol w:w="4372"/>
        <w:gridCol w:w="1474"/>
        <w:gridCol w:w="1474"/>
        <w:gridCol w:w="1108"/>
      </w:tblGrid>
      <w:tr w:rsidR="008064EB" w:rsidRPr="008064EB" w:rsidTr="0030326B">
        <w:trPr>
          <w:trHeight w:val="1275"/>
        </w:trPr>
        <w:tc>
          <w:tcPr>
            <w:tcW w:w="463"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No.</w:t>
            </w:r>
          </w:p>
        </w:tc>
        <w:tc>
          <w:tcPr>
            <w:tcW w:w="4372" w:type="dxa"/>
            <w:tcBorders>
              <w:top w:val="single" w:sz="4" w:space="0" w:color="auto"/>
              <w:left w:val="nil"/>
              <w:bottom w:val="single" w:sz="4" w:space="0" w:color="auto"/>
              <w:right w:val="single" w:sz="4" w:space="0" w:color="auto"/>
            </w:tcBorders>
            <w:shd w:val="clear" w:color="000000" w:fill="538DD5"/>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Entidad</w:t>
            </w:r>
          </w:p>
        </w:tc>
        <w:tc>
          <w:tcPr>
            <w:tcW w:w="1474" w:type="dxa"/>
            <w:tcBorders>
              <w:top w:val="single" w:sz="4" w:space="0" w:color="auto"/>
              <w:left w:val="nil"/>
              <w:bottom w:val="single" w:sz="4" w:space="0" w:color="auto"/>
              <w:right w:val="single" w:sz="4" w:space="0" w:color="auto"/>
            </w:tcBorders>
            <w:shd w:val="clear" w:color="000000" w:fill="538DD5"/>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Nivel de Cumplimiento Primera Supervisión 2020</w:t>
            </w:r>
          </w:p>
        </w:tc>
        <w:tc>
          <w:tcPr>
            <w:tcW w:w="1474" w:type="dxa"/>
            <w:tcBorders>
              <w:top w:val="single" w:sz="4" w:space="0" w:color="auto"/>
              <w:left w:val="nil"/>
              <w:bottom w:val="single" w:sz="4" w:space="0" w:color="auto"/>
              <w:right w:val="single" w:sz="4" w:space="0" w:color="auto"/>
            </w:tcBorders>
            <w:shd w:val="clear" w:color="000000" w:fill="538DD5"/>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Nivel de Cumplimiento Segunda Supervisión 2020</w:t>
            </w:r>
          </w:p>
        </w:tc>
        <w:tc>
          <w:tcPr>
            <w:tcW w:w="1108" w:type="dxa"/>
            <w:tcBorders>
              <w:top w:val="single" w:sz="4" w:space="0" w:color="auto"/>
              <w:left w:val="nil"/>
              <w:bottom w:val="single" w:sz="4" w:space="0" w:color="auto"/>
              <w:right w:val="single" w:sz="4" w:space="0" w:color="auto"/>
            </w:tcBorders>
            <w:shd w:val="clear" w:color="000000" w:fill="538DD5"/>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Diferencia</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1</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Secretaría de la Paz</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80.77</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En liquidación </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-80.77</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2</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Programa Nacional de Resarcimiento</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78.57</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En liquidación</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-78.57</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3</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Secretaría de Asuntos Agrarios de la Presidencia</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47.14</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4EB" w:rsidRPr="008064EB" w:rsidRDefault="008064EB" w:rsidP="0030326B">
            <w:pPr>
              <w:spacing w:after="0" w:line="240" w:lineRule="auto"/>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En liquidación</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-47.14</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4</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Secretaría de Asuntos Administrativos y de Seguridad de la Presidencia</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69.05</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30.49</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-38.56</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5</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Superintendencia de Telecomunicaciones</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86.67</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61.76</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-24.91</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6</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Gobernación Departamental de Totonicapán</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89.29</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69.70</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-19.59</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7</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Ministerio de Trabajo y Previsión Social.</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83.33</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67.95</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-15.38</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8</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Ministerio de la Defensa Nacional.</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93.75</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80.26</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-13.49</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9</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Gobernación Departamental de Santa Rosa</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27.42</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13.95</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-13.47</w:t>
            </w:r>
          </w:p>
        </w:tc>
      </w:tr>
      <w:tr w:rsidR="008064EB" w:rsidRPr="008064EB" w:rsidTr="008064E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10</w:t>
            </w:r>
          </w:p>
        </w:tc>
        <w:tc>
          <w:tcPr>
            <w:tcW w:w="4372"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Gobernación Departamental de Quiche</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21.88</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8064EB" w:rsidRPr="008064EB" w:rsidRDefault="008064EB" w:rsidP="008064EB">
            <w:pPr>
              <w:spacing w:after="0" w:line="240" w:lineRule="auto"/>
              <w:jc w:val="center"/>
              <w:rPr>
                <w:rFonts w:ascii="Times New Roman" w:eastAsia="Times New Roman" w:hAnsi="Times New Roman" w:cs="Times New Roman"/>
                <w:b/>
                <w:bCs/>
                <w:color w:val="000000"/>
                <w:sz w:val="20"/>
                <w:szCs w:val="20"/>
                <w:lang w:eastAsia="es-GT"/>
              </w:rPr>
            </w:pPr>
            <w:r w:rsidRPr="008064EB">
              <w:rPr>
                <w:rFonts w:ascii="Times New Roman" w:eastAsia="Times New Roman" w:hAnsi="Times New Roman" w:cs="Times New Roman"/>
                <w:b/>
                <w:bCs/>
                <w:color w:val="000000"/>
                <w:sz w:val="20"/>
                <w:szCs w:val="20"/>
                <w:lang w:eastAsia="es-GT"/>
              </w:rPr>
              <w:t>9.52</w:t>
            </w:r>
          </w:p>
        </w:tc>
        <w:tc>
          <w:tcPr>
            <w:tcW w:w="1108" w:type="dxa"/>
            <w:tcBorders>
              <w:top w:val="nil"/>
              <w:left w:val="nil"/>
              <w:bottom w:val="single" w:sz="4" w:space="0" w:color="auto"/>
              <w:right w:val="single" w:sz="4" w:space="0" w:color="auto"/>
            </w:tcBorders>
            <w:shd w:val="clear" w:color="auto" w:fill="auto"/>
            <w:noWrap/>
            <w:vAlign w:val="center"/>
            <w:hideMark/>
          </w:tcPr>
          <w:p w:rsidR="008064EB" w:rsidRPr="008064EB" w:rsidRDefault="008064EB" w:rsidP="008064EB">
            <w:pPr>
              <w:spacing w:after="0" w:line="240" w:lineRule="auto"/>
              <w:jc w:val="center"/>
              <w:rPr>
                <w:rFonts w:ascii="Times New Roman" w:eastAsia="Times New Roman" w:hAnsi="Times New Roman" w:cs="Times New Roman"/>
                <w:color w:val="000000"/>
                <w:sz w:val="20"/>
                <w:szCs w:val="20"/>
                <w:lang w:eastAsia="es-GT"/>
              </w:rPr>
            </w:pPr>
            <w:r w:rsidRPr="008064EB">
              <w:rPr>
                <w:rFonts w:ascii="Times New Roman" w:eastAsia="Times New Roman" w:hAnsi="Times New Roman" w:cs="Times New Roman"/>
                <w:color w:val="000000"/>
                <w:sz w:val="20"/>
                <w:szCs w:val="20"/>
                <w:lang w:eastAsia="es-GT"/>
              </w:rPr>
              <w:t>-12.36</w:t>
            </w:r>
          </w:p>
        </w:tc>
      </w:tr>
    </w:tbl>
    <w:p w:rsidR="00040E8A" w:rsidRDefault="00040E8A" w:rsidP="008064EB">
      <w:pPr>
        <w:spacing w:after="0"/>
        <w:jc w:val="both"/>
        <w:rPr>
          <w:rFonts w:ascii="Times New Roman" w:hAnsi="Times New Roman" w:cs="Times New Roman"/>
          <w:b/>
          <w:sz w:val="18"/>
          <w:szCs w:val="18"/>
        </w:rPr>
      </w:pPr>
    </w:p>
    <w:p w:rsidR="008064EB" w:rsidRPr="008064EB" w:rsidRDefault="008064EB" w:rsidP="008064EB">
      <w:pPr>
        <w:spacing w:after="0"/>
        <w:jc w:val="both"/>
        <w:rPr>
          <w:rFonts w:ascii="Times New Roman" w:hAnsi="Times New Roman" w:cs="Times New Roman"/>
          <w:sz w:val="18"/>
          <w:szCs w:val="18"/>
        </w:rPr>
      </w:pPr>
      <w:r w:rsidRPr="008064EB">
        <w:rPr>
          <w:rFonts w:ascii="Times New Roman" w:hAnsi="Times New Roman" w:cs="Times New Roman"/>
          <w:b/>
          <w:sz w:val="18"/>
          <w:szCs w:val="18"/>
        </w:rPr>
        <w:t>Fuente:</w:t>
      </w:r>
      <w:r w:rsidRPr="008064EB">
        <w:rPr>
          <w:rFonts w:ascii="Times New Roman" w:hAnsi="Times New Roman" w:cs="Times New Roman"/>
          <w:sz w:val="18"/>
          <w:szCs w:val="18"/>
        </w:rPr>
        <w:t xml:space="preserve"> Datos propios de SECAI obtenidos de supervisiones a portales electrónicos durante el año 2020.</w:t>
      </w:r>
    </w:p>
    <w:p w:rsidR="008064EB" w:rsidRDefault="008064EB" w:rsidP="008064EB">
      <w:pPr>
        <w:spacing w:after="0"/>
        <w:jc w:val="both"/>
        <w:rPr>
          <w:rFonts w:ascii="Times New Roman" w:hAnsi="Times New Roman" w:cs="Times New Roman"/>
          <w:sz w:val="24"/>
          <w:szCs w:val="24"/>
        </w:rPr>
      </w:pPr>
    </w:p>
    <w:p w:rsidR="007111F0" w:rsidRPr="008064EB" w:rsidRDefault="007111F0" w:rsidP="008064EB">
      <w:pPr>
        <w:spacing w:after="0"/>
        <w:jc w:val="both"/>
        <w:rPr>
          <w:rFonts w:ascii="Times New Roman" w:hAnsi="Times New Roman" w:cs="Times New Roman"/>
          <w:sz w:val="24"/>
          <w:szCs w:val="24"/>
        </w:rPr>
      </w:pPr>
    </w:p>
    <w:p w:rsidR="008064EB" w:rsidRDefault="008064EB" w:rsidP="008064EB">
      <w:pPr>
        <w:spacing w:after="0"/>
        <w:jc w:val="both"/>
        <w:rPr>
          <w:rFonts w:ascii="Times New Roman" w:hAnsi="Times New Roman" w:cs="Times New Roman"/>
          <w:b/>
          <w:sz w:val="24"/>
          <w:szCs w:val="24"/>
        </w:rPr>
      </w:pPr>
      <w:r w:rsidRPr="008064EB">
        <w:rPr>
          <w:rFonts w:ascii="Times New Roman" w:hAnsi="Times New Roman" w:cs="Times New Roman"/>
          <w:b/>
          <w:sz w:val="24"/>
          <w:szCs w:val="24"/>
        </w:rPr>
        <w:t>Las 10 entidades con el nivel de cumplimien</w:t>
      </w:r>
      <w:r w:rsidR="00040E8A">
        <w:rPr>
          <w:rFonts w:ascii="Times New Roman" w:hAnsi="Times New Roman" w:cs="Times New Roman"/>
          <w:b/>
          <w:sz w:val="24"/>
          <w:szCs w:val="24"/>
        </w:rPr>
        <w:t>to más alto durante el año 2020</w:t>
      </w:r>
    </w:p>
    <w:p w:rsidR="00040E8A" w:rsidRPr="008064EB" w:rsidRDefault="00040E8A" w:rsidP="008064EB">
      <w:pPr>
        <w:spacing w:after="0"/>
        <w:jc w:val="both"/>
        <w:rPr>
          <w:rFonts w:ascii="Times New Roman" w:hAnsi="Times New Roman" w:cs="Times New Roman"/>
          <w:b/>
          <w:sz w:val="24"/>
          <w:szCs w:val="24"/>
        </w:rPr>
      </w:pPr>
    </w:p>
    <w:tbl>
      <w:tblPr>
        <w:tblW w:w="8891" w:type="dxa"/>
        <w:tblInd w:w="55" w:type="dxa"/>
        <w:tblCellMar>
          <w:left w:w="70" w:type="dxa"/>
          <w:right w:w="70" w:type="dxa"/>
        </w:tblCellMar>
        <w:tblLook w:val="04A0" w:firstRow="1" w:lastRow="0" w:firstColumn="1" w:lastColumn="0" w:noHBand="0" w:noVBand="1"/>
      </w:tblPr>
      <w:tblGrid>
        <w:gridCol w:w="463"/>
        <w:gridCol w:w="4372"/>
        <w:gridCol w:w="1474"/>
        <w:gridCol w:w="1474"/>
        <w:gridCol w:w="1108"/>
      </w:tblGrid>
      <w:tr w:rsidR="003C20C9" w:rsidRPr="002248BA" w:rsidTr="0030326B">
        <w:trPr>
          <w:trHeight w:val="1275"/>
        </w:trPr>
        <w:tc>
          <w:tcPr>
            <w:tcW w:w="463" w:type="dxa"/>
            <w:tcBorders>
              <w:top w:val="single" w:sz="4" w:space="0" w:color="auto"/>
              <w:left w:val="single" w:sz="4" w:space="0" w:color="auto"/>
              <w:bottom w:val="single" w:sz="4" w:space="0" w:color="auto"/>
              <w:right w:val="single" w:sz="4" w:space="0" w:color="auto"/>
            </w:tcBorders>
            <w:shd w:val="clear" w:color="000000" w:fill="538DD5"/>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No.</w:t>
            </w:r>
          </w:p>
        </w:tc>
        <w:tc>
          <w:tcPr>
            <w:tcW w:w="4372" w:type="dxa"/>
            <w:tcBorders>
              <w:top w:val="single" w:sz="4" w:space="0" w:color="auto"/>
              <w:left w:val="nil"/>
              <w:bottom w:val="single" w:sz="4" w:space="0" w:color="auto"/>
              <w:right w:val="single" w:sz="4" w:space="0" w:color="auto"/>
            </w:tcBorders>
            <w:shd w:val="clear" w:color="000000" w:fill="538DD5"/>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Entidad</w:t>
            </w:r>
          </w:p>
        </w:tc>
        <w:tc>
          <w:tcPr>
            <w:tcW w:w="1474" w:type="dxa"/>
            <w:tcBorders>
              <w:top w:val="single" w:sz="4" w:space="0" w:color="auto"/>
              <w:left w:val="nil"/>
              <w:bottom w:val="single" w:sz="4" w:space="0" w:color="auto"/>
              <w:right w:val="single" w:sz="4" w:space="0" w:color="auto"/>
            </w:tcBorders>
            <w:shd w:val="clear" w:color="000000" w:fill="538DD5"/>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Nivel de Cumplimiento Primera Supervisión 2020</w:t>
            </w:r>
          </w:p>
        </w:tc>
        <w:tc>
          <w:tcPr>
            <w:tcW w:w="1474" w:type="dxa"/>
            <w:tcBorders>
              <w:top w:val="single" w:sz="4" w:space="0" w:color="auto"/>
              <w:left w:val="nil"/>
              <w:bottom w:val="single" w:sz="4" w:space="0" w:color="auto"/>
              <w:right w:val="single" w:sz="4" w:space="0" w:color="auto"/>
            </w:tcBorders>
            <w:shd w:val="clear" w:color="000000" w:fill="538DD5"/>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Nivel de Cumplimiento Segunda Supervisión 2020</w:t>
            </w:r>
          </w:p>
        </w:tc>
        <w:tc>
          <w:tcPr>
            <w:tcW w:w="1108" w:type="dxa"/>
            <w:tcBorders>
              <w:top w:val="single" w:sz="4" w:space="0" w:color="auto"/>
              <w:left w:val="nil"/>
              <w:bottom w:val="single" w:sz="4" w:space="0" w:color="auto"/>
              <w:right w:val="single" w:sz="4" w:space="0" w:color="auto"/>
            </w:tcBorders>
            <w:shd w:val="clear" w:color="000000" w:fill="538DD5"/>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Diferencia</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1</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Ministerio de Finanzas Públicas.</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90.48</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100.00</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9.52</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2</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Secretaría Nacional de Administración de Bienes en Extinción de Dominio</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84.15</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98.68</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14.53</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3</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Vicepresidencia de la República de Guatemala</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98.57</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98.61</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0.04</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4</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Gobernación Departamental de Baja Verapaz</w:t>
            </w:r>
          </w:p>
        </w:tc>
        <w:tc>
          <w:tcPr>
            <w:tcW w:w="1474"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51.35</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97.22</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45.87</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5</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Ministerio de Cultura y Deportes.</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77.54</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97.20</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19.66</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6</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Secretaría Presidencial de la Mujer</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97.14</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97.14</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0.00</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Comisión Presidencial de Gobierno Abierto y Electrónico</w:t>
            </w:r>
          </w:p>
        </w:tc>
        <w:tc>
          <w:tcPr>
            <w:tcW w:w="147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79.76</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96.67</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16.91</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Secretaría contra la Violencia Sexual, Explotación y Trata de Personas</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92.65</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96.55</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3.90</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Oficina Nacional de Servicio Civil</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89.39</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95.16</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5.77</w:t>
            </w:r>
          </w:p>
        </w:tc>
      </w:tr>
      <w:tr w:rsidR="003C20C9" w:rsidRPr="002248BA" w:rsidTr="0030326B">
        <w:trPr>
          <w:trHeight w:val="255"/>
        </w:trPr>
        <w:tc>
          <w:tcPr>
            <w:tcW w:w="463" w:type="dxa"/>
            <w:tcBorders>
              <w:top w:val="nil"/>
              <w:left w:val="single" w:sz="4" w:space="0" w:color="auto"/>
              <w:bottom w:val="single" w:sz="4" w:space="0" w:color="auto"/>
              <w:right w:val="single" w:sz="4" w:space="0" w:color="auto"/>
            </w:tcBorders>
            <w:shd w:val="clear" w:color="auto" w:fill="auto"/>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10</w:t>
            </w:r>
          </w:p>
        </w:tc>
        <w:tc>
          <w:tcPr>
            <w:tcW w:w="4372"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Secretaría Técnica del Consejo Nacional de Seguridad</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91.43</w:t>
            </w:r>
          </w:p>
        </w:tc>
        <w:tc>
          <w:tcPr>
            <w:tcW w:w="1474"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C20C9" w:rsidRPr="002248BA" w:rsidRDefault="003C20C9" w:rsidP="0030326B">
            <w:pPr>
              <w:spacing w:after="0" w:line="240" w:lineRule="auto"/>
              <w:jc w:val="center"/>
              <w:rPr>
                <w:rFonts w:ascii="Times New Roman" w:eastAsia="Times New Roman" w:hAnsi="Times New Roman" w:cs="Times New Roman"/>
                <w:b/>
                <w:bCs/>
                <w:color w:val="000000"/>
                <w:sz w:val="20"/>
                <w:szCs w:val="20"/>
                <w:lang w:eastAsia="es-GT"/>
              </w:rPr>
            </w:pPr>
            <w:r w:rsidRPr="002248BA">
              <w:rPr>
                <w:rFonts w:ascii="Times New Roman" w:eastAsia="Times New Roman" w:hAnsi="Times New Roman" w:cs="Times New Roman"/>
                <w:b/>
                <w:bCs/>
                <w:color w:val="000000"/>
                <w:sz w:val="20"/>
                <w:szCs w:val="20"/>
                <w:lang w:eastAsia="es-GT"/>
              </w:rPr>
              <w:t>94.83</w:t>
            </w:r>
          </w:p>
        </w:tc>
        <w:tc>
          <w:tcPr>
            <w:tcW w:w="1108" w:type="dxa"/>
            <w:tcBorders>
              <w:top w:val="nil"/>
              <w:left w:val="nil"/>
              <w:bottom w:val="single" w:sz="4" w:space="0" w:color="auto"/>
              <w:right w:val="single" w:sz="4" w:space="0" w:color="auto"/>
            </w:tcBorders>
            <w:shd w:val="clear" w:color="auto" w:fill="auto"/>
            <w:noWrap/>
            <w:vAlign w:val="center"/>
            <w:hideMark/>
          </w:tcPr>
          <w:p w:rsidR="003C20C9" w:rsidRPr="002248BA" w:rsidRDefault="003C20C9" w:rsidP="0030326B">
            <w:pPr>
              <w:spacing w:after="0" w:line="240" w:lineRule="auto"/>
              <w:jc w:val="center"/>
              <w:rPr>
                <w:rFonts w:ascii="Times New Roman" w:eastAsia="Times New Roman" w:hAnsi="Times New Roman" w:cs="Times New Roman"/>
                <w:color w:val="000000"/>
                <w:sz w:val="20"/>
                <w:szCs w:val="20"/>
                <w:lang w:eastAsia="es-GT"/>
              </w:rPr>
            </w:pPr>
            <w:r w:rsidRPr="002248BA">
              <w:rPr>
                <w:rFonts w:ascii="Times New Roman" w:eastAsia="Times New Roman" w:hAnsi="Times New Roman" w:cs="Times New Roman"/>
                <w:color w:val="000000"/>
                <w:sz w:val="20"/>
                <w:szCs w:val="20"/>
                <w:lang w:eastAsia="es-GT"/>
              </w:rPr>
              <w:t>3.40</w:t>
            </w:r>
          </w:p>
        </w:tc>
      </w:tr>
    </w:tbl>
    <w:p w:rsidR="00040E8A" w:rsidRDefault="00040E8A" w:rsidP="008064EB">
      <w:pPr>
        <w:spacing w:after="0"/>
        <w:jc w:val="both"/>
        <w:rPr>
          <w:rFonts w:ascii="Times New Roman" w:hAnsi="Times New Roman" w:cs="Times New Roman"/>
          <w:b/>
          <w:sz w:val="18"/>
          <w:szCs w:val="18"/>
        </w:rPr>
      </w:pPr>
    </w:p>
    <w:p w:rsidR="008064EB" w:rsidRPr="008064EB" w:rsidRDefault="008064EB" w:rsidP="008064EB">
      <w:pPr>
        <w:spacing w:after="0"/>
        <w:jc w:val="both"/>
        <w:rPr>
          <w:rFonts w:ascii="Times New Roman" w:hAnsi="Times New Roman" w:cs="Times New Roman"/>
          <w:sz w:val="18"/>
          <w:szCs w:val="18"/>
        </w:rPr>
      </w:pPr>
      <w:r w:rsidRPr="008064EB">
        <w:rPr>
          <w:rFonts w:ascii="Times New Roman" w:hAnsi="Times New Roman" w:cs="Times New Roman"/>
          <w:b/>
          <w:sz w:val="18"/>
          <w:szCs w:val="18"/>
        </w:rPr>
        <w:t>Fuente:</w:t>
      </w:r>
      <w:r w:rsidRPr="008064EB">
        <w:rPr>
          <w:rFonts w:ascii="Times New Roman" w:hAnsi="Times New Roman" w:cs="Times New Roman"/>
          <w:sz w:val="18"/>
          <w:szCs w:val="18"/>
        </w:rPr>
        <w:t xml:space="preserve"> Datos propios de SECAI obtenidos de supervisiones a portales electrónicos durante el año 2020.</w:t>
      </w:r>
    </w:p>
    <w:p w:rsidR="00A57497" w:rsidRPr="008064EB" w:rsidRDefault="00A57497" w:rsidP="008064EB">
      <w:pPr>
        <w:spacing w:after="0"/>
        <w:rPr>
          <w:rFonts w:ascii="Times New Roman" w:hAnsi="Times New Roman" w:cs="Times New Roman"/>
          <w:sz w:val="24"/>
          <w:szCs w:val="24"/>
        </w:rPr>
      </w:pPr>
    </w:p>
    <w:p w:rsidR="00054D12" w:rsidRPr="008064EB" w:rsidRDefault="00054D12" w:rsidP="008064EB">
      <w:pPr>
        <w:spacing w:after="0"/>
        <w:rPr>
          <w:rFonts w:ascii="Times New Roman" w:hAnsi="Times New Roman" w:cs="Times New Roman"/>
          <w:sz w:val="24"/>
          <w:szCs w:val="24"/>
        </w:rPr>
      </w:pPr>
    </w:p>
    <w:p w:rsidR="002868F2" w:rsidRPr="0032626C" w:rsidRDefault="002868F2" w:rsidP="0032626C">
      <w:pPr>
        <w:pStyle w:val="Ttulo2"/>
        <w:rPr>
          <w:rFonts w:ascii="Times New Roman" w:hAnsi="Times New Roman" w:cs="Times New Roman"/>
          <w:b/>
          <w:color w:val="auto"/>
          <w:sz w:val="24"/>
          <w:szCs w:val="24"/>
        </w:rPr>
      </w:pPr>
      <w:bookmarkStart w:id="56" w:name="_Toc60223895"/>
      <w:r w:rsidRPr="0032626C">
        <w:rPr>
          <w:rFonts w:ascii="Times New Roman" w:hAnsi="Times New Roman" w:cs="Times New Roman"/>
          <w:b/>
          <w:color w:val="auto"/>
          <w:sz w:val="24"/>
          <w:szCs w:val="24"/>
        </w:rPr>
        <w:lastRenderedPageBreak/>
        <w:t>Desagregación de entidades del Organismo Ejecutivo</w:t>
      </w:r>
      <w:bookmarkEnd w:id="56"/>
    </w:p>
    <w:p w:rsidR="000E7485" w:rsidRDefault="000E7485" w:rsidP="000E7485">
      <w:pPr>
        <w:spacing w:after="0"/>
        <w:rPr>
          <w:rFonts w:ascii="Times New Roman" w:hAnsi="Times New Roman" w:cs="Times New Roman"/>
          <w:sz w:val="24"/>
          <w:szCs w:val="24"/>
        </w:rPr>
      </w:pPr>
    </w:p>
    <w:p w:rsidR="000E7485" w:rsidRPr="000E7485" w:rsidRDefault="000E7485" w:rsidP="000E7485">
      <w:pPr>
        <w:spacing w:after="0"/>
        <w:rPr>
          <w:rFonts w:ascii="Times New Roman" w:hAnsi="Times New Roman" w:cs="Times New Roman"/>
          <w:sz w:val="24"/>
          <w:szCs w:val="24"/>
        </w:rPr>
      </w:pPr>
      <w:r w:rsidRPr="000E7485">
        <w:rPr>
          <w:rFonts w:ascii="Times New Roman" w:hAnsi="Times New Roman" w:cs="Times New Roman"/>
          <w:sz w:val="24"/>
          <w:szCs w:val="24"/>
        </w:rPr>
        <w:t>Se consideran para efectos de la gráfica los siguientes sectores o grupos de entidades:</w:t>
      </w:r>
    </w:p>
    <w:p w:rsidR="000E7485" w:rsidRDefault="000E7485" w:rsidP="000E7485">
      <w:pPr>
        <w:spacing w:after="0"/>
        <w:rPr>
          <w:rFonts w:ascii="Times New Roman" w:hAnsi="Times New Roman" w:cs="Times New Roman"/>
          <w:sz w:val="24"/>
          <w:szCs w:val="24"/>
        </w:rPr>
      </w:pPr>
      <w:r w:rsidRPr="000E7485">
        <w:rPr>
          <w:rFonts w:ascii="Times New Roman" w:hAnsi="Times New Roman" w:cs="Times New Roman"/>
          <w:sz w:val="24"/>
          <w:szCs w:val="24"/>
        </w:rPr>
        <w:t>Secretarías (17); Ministerios (14); Otras Dependencias (17) Gobernaciones Departamentales (22</w:t>
      </w:r>
      <w:r>
        <w:rPr>
          <w:rFonts w:ascii="Times New Roman" w:hAnsi="Times New Roman" w:cs="Times New Roman"/>
          <w:sz w:val="24"/>
          <w:szCs w:val="24"/>
        </w:rPr>
        <w:t>).</w:t>
      </w:r>
    </w:p>
    <w:p w:rsidR="000E7485" w:rsidRDefault="000E7485" w:rsidP="000E7485">
      <w:pPr>
        <w:spacing w:after="0"/>
        <w:rPr>
          <w:rFonts w:ascii="Times New Roman" w:hAnsi="Times New Roman" w:cs="Times New Roman"/>
          <w:sz w:val="24"/>
          <w:szCs w:val="24"/>
        </w:rPr>
      </w:pPr>
    </w:p>
    <w:p w:rsidR="000E7485" w:rsidRPr="000E7485" w:rsidRDefault="000E7485" w:rsidP="000E7485">
      <w:pPr>
        <w:spacing w:after="0"/>
        <w:rPr>
          <w:rFonts w:ascii="Times New Roman" w:hAnsi="Times New Roman" w:cs="Times New Roman"/>
          <w:sz w:val="24"/>
          <w:szCs w:val="24"/>
        </w:rPr>
      </w:pPr>
    </w:p>
    <w:p w:rsidR="000E7485" w:rsidRPr="0032626C" w:rsidRDefault="000E7485" w:rsidP="0032626C">
      <w:pPr>
        <w:pStyle w:val="Ttulo2"/>
        <w:rPr>
          <w:rFonts w:ascii="Times New Roman" w:hAnsi="Times New Roman" w:cs="Times New Roman"/>
          <w:b/>
          <w:color w:val="auto"/>
          <w:sz w:val="24"/>
          <w:szCs w:val="24"/>
        </w:rPr>
      </w:pPr>
      <w:bookmarkStart w:id="57" w:name="_Toc60223896"/>
      <w:r w:rsidRPr="0032626C">
        <w:rPr>
          <w:rFonts w:ascii="Times New Roman" w:hAnsi="Times New Roman" w:cs="Times New Roman"/>
          <w:b/>
          <w:color w:val="auto"/>
          <w:sz w:val="24"/>
          <w:szCs w:val="24"/>
        </w:rPr>
        <w:t xml:space="preserve">Gráfica comparativa del promedio del nivel de cumplimiento de los portales electrónicos de los sectores del Organismo </w:t>
      </w:r>
      <w:r w:rsidR="00040E8A" w:rsidRPr="0032626C">
        <w:rPr>
          <w:rFonts w:ascii="Times New Roman" w:hAnsi="Times New Roman" w:cs="Times New Roman"/>
          <w:b/>
          <w:color w:val="auto"/>
          <w:sz w:val="24"/>
          <w:szCs w:val="24"/>
        </w:rPr>
        <w:t>Ejecutivo en los años 2019-2020</w:t>
      </w:r>
      <w:bookmarkEnd w:id="57"/>
    </w:p>
    <w:p w:rsidR="00040E8A" w:rsidRPr="000D22C0" w:rsidRDefault="00040E8A" w:rsidP="000E7485">
      <w:pPr>
        <w:spacing w:after="0" w:line="240" w:lineRule="auto"/>
        <w:jc w:val="both"/>
        <w:rPr>
          <w:rFonts w:ascii="Times New Roman" w:hAnsi="Times New Roman" w:cs="Times New Roman"/>
          <w:sz w:val="24"/>
          <w:szCs w:val="24"/>
        </w:rPr>
      </w:pPr>
    </w:p>
    <w:p w:rsidR="000E7485" w:rsidRDefault="000E7485" w:rsidP="000E7485">
      <w:pPr>
        <w:spacing w:after="0"/>
        <w:rPr>
          <w:rFonts w:ascii="Times New Roman" w:hAnsi="Times New Roman" w:cs="Times New Roman"/>
          <w:sz w:val="24"/>
          <w:szCs w:val="24"/>
        </w:rPr>
      </w:pPr>
      <w:r>
        <w:rPr>
          <w:noProof/>
          <w:lang w:eastAsia="es-GT"/>
        </w:rPr>
        <w:drawing>
          <wp:inline distT="0" distB="0" distL="0" distR="0" wp14:anchorId="3FE62C57" wp14:editId="7C3FDFAA">
            <wp:extent cx="5724525" cy="273367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0E8A" w:rsidRDefault="00040E8A" w:rsidP="000E7485">
      <w:pPr>
        <w:spacing w:after="0"/>
        <w:rPr>
          <w:rFonts w:ascii="Times New Roman" w:hAnsi="Times New Roman" w:cs="Times New Roman"/>
          <w:b/>
          <w:sz w:val="18"/>
          <w:szCs w:val="18"/>
        </w:rPr>
      </w:pPr>
    </w:p>
    <w:p w:rsidR="000E7485" w:rsidRPr="000E7485" w:rsidRDefault="000E7485" w:rsidP="000E7485">
      <w:pPr>
        <w:spacing w:after="0"/>
        <w:rPr>
          <w:rFonts w:ascii="Times New Roman" w:hAnsi="Times New Roman" w:cs="Times New Roman"/>
          <w:sz w:val="18"/>
          <w:szCs w:val="18"/>
        </w:rPr>
      </w:pPr>
      <w:r w:rsidRPr="0030326B">
        <w:rPr>
          <w:rFonts w:ascii="Times New Roman" w:hAnsi="Times New Roman" w:cs="Times New Roman"/>
          <w:b/>
          <w:sz w:val="18"/>
          <w:szCs w:val="18"/>
        </w:rPr>
        <w:t>Fuente.</w:t>
      </w:r>
      <w:r w:rsidRPr="000E7485">
        <w:rPr>
          <w:rFonts w:ascii="Times New Roman" w:hAnsi="Times New Roman" w:cs="Times New Roman"/>
          <w:sz w:val="18"/>
          <w:szCs w:val="18"/>
        </w:rPr>
        <w:t xml:space="preserve"> Elaboración propia con base a boletas de supervisión de portales electrónicos</w:t>
      </w:r>
      <w:r w:rsidR="0030326B">
        <w:rPr>
          <w:rFonts w:ascii="Times New Roman" w:hAnsi="Times New Roman" w:cs="Times New Roman"/>
          <w:sz w:val="18"/>
          <w:szCs w:val="18"/>
        </w:rPr>
        <w:t xml:space="preserve"> 2019-2020.</w:t>
      </w:r>
    </w:p>
    <w:p w:rsidR="003C20C9" w:rsidRDefault="003C20C9" w:rsidP="0030326B">
      <w:pPr>
        <w:spacing w:after="0"/>
        <w:rPr>
          <w:rFonts w:ascii="Times New Roman" w:hAnsi="Times New Roman" w:cs="Times New Roman"/>
          <w:sz w:val="24"/>
          <w:szCs w:val="24"/>
        </w:rPr>
      </w:pPr>
    </w:p>
    <w:p w:rsidR="0030326B" w:rsidRDefault="0030326B" w:rsidP="0030326B">
      <w:pPr>
        <w:spacing w:after="0"/>
        <w:rPr>
          <w:rFonts w:ascii="Times New Roman" w:hAnsi="Times New Roman" w:cs="Times New Roman"/>
          <w:sz w:val="24"/>
          <w:szCs w:val="24"/>
        </w:rPr>
      </w:pPr>
    </w:p>
    <w:p w:rsidR="0030326B" w:rsidRPr="0032626C" w:rsidRDefault="0030326B" w:rsidP="0032626C">
      <w:pPr>
        <w:pStyle w:val="Ttulo2"/>
        <w:rPr>
          <w:rFonts w:ascii="Times New Roman" w:hAnsi="Times New Roman" w:cs="Times New Roman"/>
          <w:b/>
          <w:color w:val="auto"/>
          <w:sz w:val="24"/>
          <w:szCs w:val="24"/>
        </w:rPr>
      </w:pPr>
      <w:bookmarkStart w:id="58" w:name="_Toc60223897"/>
      <w:r w:rsidRPr="0032626C">
        <w:rPr>
          <w:rFonts w:ascii="Times New Roman" w:hAnsi="Times New Roman" w:cs="Times New Roman"/>
          <w:b/>
          <w:color w:val="auto"/>
          <w:sz w:val="24"/>
          <w:szCs w:val="24"/>
        </w:rPr>
        <w:t>Comparativo del nivel de cumplimiento de los portales electrónicos de las se</w:t>
      </w:r>
      <w:r w:rsidR="00040E8A" w:rsidRPr="0032626C">
        <w:rPr>
          <w:rFonts w:ascii="Times New Roman" w:hAnsi="Times New Roman" w:cs="Times New Roman"/>
          <w:b/>
          <w:color w:val="auto"/>
          <w:sz w:val="24"/>
          <w:szCs w:val="24"/>
        </w:rPr>
        <w:t>cretarías en los años 2019-2020</w:t>
      </w:r>
      <w:bookmarkEnd w:id="58"/>
      <w:r w:rsidR="00040E8A" w:rsidRPr="0032626C">
        <w:rPr>
          <w:rFonts w:ascii="Times New Roman" w:hAnsi="Times New Roman" w:cs="Times New Roman"/>
          <w:b/>
          <w:color w:val="auto"/>
          <w:sz w:val="24"/>
          <w:szCs w:val="24"/>
        </w:rPr>
        <w:t xml:space="preserve"> </w:t>
      </w:r>
    </w:p>
    <w:p w:rsidR="00040E8A" w:rsidRPr="000D22C0" w:rsidRDefault="00040E8A" w:rsidP="0030326B">
      <w:pPr>
        <w:spacing w:after="0" w:line="240" w:lineRule="auto"/>
        <w:jc w:val="both"/>
        <w:rPr>
          <w:rFonts w:ascii="Times New Roman" w:hAnsi="Times New Roman" w:cs="Times New Roman"/>
          <w:sz w:val="24"/>
          <w:szCs w:val="24"/>
        </w:rPr>
      </w:pPr>
    </w:p>
    <w:tbl>
      <w:tblPr>
        <w:tblW w:w="9087" w:type="dxa"/>
        <w:tblInd w:w="55" w:type="dxa"/>
        <w:tblCellMar>
          <w:left w:w="70" w:type="dxa"/>
          <w:right w:w="70" w:type="dxa"/>
        </w:tblCellMar>
        <w:tblLook w:val="04A0" w:firstRow="1" w:lastRow="0" w:firstColumn="1" w:lastColumn="0" w:noHBand="0" w:noVBand="1"/>
      </w:tblPr>
      <w:tblGrid>
        <w:gridCol w:w="500"/>
        <w:gridCol w:w="4335"/>
        <w:gridCol w:w="1374"/>
        <w:gridCol w:w="1461"/>
        <w:gridCol w:w="1417"/>
      </w:tblGrid>
      <w:tr w:rsidR="002868F2" w:rsidRPr="003C20C9" w:rsidTr="00040E8A">
        <w:trPr>
          <w:trHeight w:val="765"/>
          <w:tblHeader/>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868F2" w:rsidRPr="003C20C9" w:rsidRDefault="002868F2" w:rsidP="003C20C9">
            <w:pPr>
              <w:spacing w:after="0" w:line="240" w:lineRule="auto"/>
              <w:jc w:val="center"/>
              <w:rPr>
                <w:rFonts w:ascii="Times New Roman" w:eastAsia="Times New Roman" w:hAnsi="Times New Roman" w:cs="Times New Roman"/>
                <w:b/>
                <w:bCs/>
                <w:color w:val="000000"/>
                <w:sz w:val="20"/>
                <w:szCs w:val="20"/>
                <w:lang w:eastAsia="es-GT"/>
              </w:rPr>
            </w:pPr>
            <w:r w:rsidRPr="003C20C9">
              <w:rPr>
                <w:rFonts w:ascii="Times New Roman" w:eastAsia="Times New Roman" w:hAnsi="Times New Roman" w:cs="Times New Roman"/>
                <w:b/>
                <w:bCs/>
                <w:color w:val="000000"/>
                <w:sz w:val="20"/>
                <w:szCs w:val="20"/>
                <w:lang w:eastAsia="es-GT"/>
              </w:rPr>
              <w:t>No.</w:t>
            </w:r>
          </w:p>
        </w:tc>
        <w:tc>
          <w:tcPr>
            <w:tcW w:w="4335" w:type="dxa"/>
            <w:tcBorders>
              <w:top w:val="single" w:sz="4" w:space="0" w:color="auto"/>
              <w:left w:val="nil"/>
              <w:bottom w:val="single" w:sz="4" w:space="0" w:color="auto"/>
              <w:right w:val="single" w:sz="4" w:space="0" w:color="auto"/>
            </w:tcBorders>
            <w:shd w:val="clear" w:color="000000" w:fill="BFBFBF"/>
            <w:noWrap/>
            <w:vAlign w:val="center"/>
            <w:hideMark/>
          </w:tcPr>
          <w:p w:rsidR="002868F2" w:rsidRPr="003C20C9" w:rsidRDefault="002868F2" w:rsidP="003C20C9">
            <w:pPr>
              <w:spacing w:after="0" w:line="240" w:lineRule="auto"/>
              <w:jc w:val="center"/>
              <w:rPr>
                <w:rFonts w:ascii="Times New Roman" w:eastAsia="Times New Roman" w:hAnsi="Times New Roman" w:cs="Times New Roman"/>
                <w:b/>
                <w:bCs/>
                <w:color w:val="000000"/>
                <w:sz w:val="20"/>
                <w:szCs w:val="20"/>
                <w:lang w:eastAsia="es-GT"/>
              </w:rPr>
            </w:pPr>
            <w:r w:rsidRPr="003C20C9">
              <w:rPr>
                <w:rFonts w:ascii="Times New Roman" w:eastAsia="Times New Roman" w:hAnsi="Times New Roman" w:cs="Times New Roman"/>
                <w:b/>
                <w:bCs/>
                <w:color w:val="000000"/>
                <w:sz w:val="20"/>
                <w:szCs w:val="20"/>
                <w:lang w:eastAsia="es-GT"/>
              </w:rPr>
              <w:t>Entidad</w:t>
            </w:r>
          </w:p>
        </w:tc>
        <w:tc>
          <w:tcPr>
            <w:tcW w:w="1374" w:type="dxa"/>
            <w:tcBorders>
              <w:top w:val="single" w:sz="4" w:space="0" w:color="auto"/>
              <w:left w:val="nil"/>
              <w:bottom w:val="single" w:sz="4" w:space="0" w:color="auto"/>
              <w:right w:val="single" w:sz="4" w:space="0" w:color="auto"/>
            </w:tcBorders>
            <w:shd w:val="clear" w:color="000000" w:fill="BFBFBF"/>
            <w:vAlign w:val="center"/>
            <w:hideMark/>
          </w:tcPr>
          <w:p w:rsidR="002868F2" w:rsidRPr="003C20C9" w:rsidRDefault="002868F2" w:rsidP="003C20C9">
            <w:pPr>
              <w:spacing w:after="0" w:line="240" w:lineRule="auto"/>
              <w:jc w:val="center"/>
              <w:rPr>
                <w:rFonts w:ascii="Times New Roman" w:eastAsia="Times New Roman" w:hAnsi="Times New Roman" w:cs="Times New Roman"/>
                <w:b/>
                <w:bCs/>
                <w:color w:val="000000"/>
                <w:sz w:val="20"/>
                <w:szCs w:val="20"/>
                <w:lang w:eastAsia="es-GT"/>
              </w:rPr>
            </w:pPr>
            <w:r w:rsidRPr="003C20C9">
              <w:rPr>
                <w:rFonts w:ascii="Times New Roman" w:eastAsia="Times New Roman" w:hAnsi="Times New Roman" w:cs="Times New Roman"/>
                <w:b/>
                <w:bCs/>
                <w:color w:val="000000"/>
                <w:sz w:val="20"/>
                <w:szCs w:val="20"/>
                <w:lang w:eastAsia="es-GT"/>
              </w:rPr>
              <w:t>Nivel de Cumplimiento 2019</w:t>
            </w:r>
          </w:p>
        </w:tc>
        <w:tc>
          <w:tcPr>
            <w:tcW w:w="1461" w:type="dxa"/>
            <w:tcBorders>
              <w:top w:val="single" w:sz="4" w:space="0" w:color="auto"/>
              <w:left w:val="nil"/>
              <w:bottom w:val="single" w:sz="4" w:space="0" w:color="auto"/>
              <w:right w:val="single" w:sz="4" w:space="0" w:color="auto"/>
            </w:tcBorders>
            <w:shd w:val="clear" w:color="000000" w:fill="BFBFBF"/>
            <w:vAlign w:val="center"/>
            <w:hideMark/>
          </w:tcPr>
          <w:p w:rsidR="002868F2" w:rsidRPr="003C20C9" w:rsidRDefault="002868F2" w:rsidP="003C20C9">
            <w:pPr>
              <w:spacing w:after="0" w:line="240" w:lineRule="auto"/>
              <w:jc w:val="center"/>
              <w:rPr>
                <w:rFonts w:ascii="Times New Roman" w:eastAsia="Times New Roman" w:hAnsi="Times New Roman" w:cs="Times New Roman"/>
                <w:b/>
                <w:bCs/>
                <w:color w:val="000000"/>
                <w:sz w:val="20"/>
                <w:szCs w:val="20"/>
                <w:lang w:eastAsia="es-GT"/>
              </w:rPr>
            </w:pPr>
            <w:r w:rsidRPr="003C20C9">
              <w:rPr>
                <w:rFonts w:ascii="Times New Roman" w:eastAsia="Times New Roman" w:hAnsi="Times New Roman" w:cs="Times New Roman"/>
                <w:b/>
                <w:bCs/>
                <w:color w:val="000000"/>
                <w:sz w:val="20"/>
                <w:szCs w:val="20"/>
                <w:lang w:eastAsia="es-GT"/>
              </w:rPr>
              <w:t>Nivel de Cumplimiento 2020</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2868F2" w:rsidRPr="003C20C9" w:rsidRDefault="002868F2" w:rsidP="003C20C9">
            <w:pPr>
              <w:spacing w:after="0" w:line="240" w:lineRule="auto"/>
              <w:jc w:val="center"/>
              <w:rPr>
                <w:rFonts w:ascii="Times New Roman" w:eastAsia="Times New Roman" w:hAnsi="Times New Roman" w:cs="Times New Roman"/>
                <w:b/>
                <w:bCs/>
                <w:color w:val="000000"/>
                <w:sz w:val="20"/>
                <w:szCs w:val="20"/>
                <w:lang w:eastAsia="es-GT"/>
              </w:rPr>
            </w:pPr>
            <w:r w:rsidRPr="003C20C9">
              <w:rPr>
                <w:rFonts w:ascii="Times New Roman" w:eastAsia="Times New Roman" w:hAnsi="Times New Roman" w:cs="Times New Roman"/>
                <w:b/>
                <w:bCs/>
                <w:color w:val="000000"/>
                <w:sz w:val="20"/>
                <w:szCs w:val="20"/>
                <w:lang w:eastAsia="es-GT"/>
              </w:rPr>
              <w:t>Diferencia</w:t>
            </w:r>
          </w:p>
        </w:tc>
      </w:tr>
      <w:tr w:rsidR="002868F2" w:rsidRPr="003C20C9" w:rsidTr="000E7485">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Nacional de Administración de Bienes en Extinción de Dominio</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61.25</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98.68</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37.43</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2</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Presidencial de la Mujer</w:t>
            </w:r>
          </w:p>
        </w:tc>
        <w:tc>
          <w:tcPr>
            <w:tcW w:w="1374" w:type="dxa"/>
            <w:tcBorders>
              <w:top w:val="nil"/>
              <w:left w:val="nil"/>
              <w:bottom w:val="single" w:sz="4" w:space="0" w:color="auto"/>
              <w:right w:val="single" w:sz="4" w:space="0" w:color="auto"/>
            </w:tcBorders>
            <w:shd w:val="clear" w:color="000000" w:fill="00B05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91.18</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97.14</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5.96</w:t>
            </w:r>
          </w:p>
        </w:tc>
      </w:tr>
      <w:tr w:rsidR="002868F2" w:rsidRPr="003C20C9" w:rsidTr="000E7485">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3</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contra la Violencia Sexual, Explotación y Trata de Personas</w:t>
            </w:r>
          </w:p>
        </w:tc>
        <w:tc>
          <w:tcPr>
            <w:tcW w:w="1374" w:type="dxa"/>
            <w:tcBorders>
              <w:top w:val="nil"/>
              <w:left w:val="nil"/>
              <w:bottom w:val="single" w:sz="4" w:space="0" w:color="auto"/>
              <w:right w:val="single" w:sz="4" w:space="0" w:color="auto"/>
            </w:tcBorders>
            <w:shd w:val="clear" w:color="000000" w:fill="00B05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87.10</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96.55</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9.45</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4</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Seguridad Alimentaria y Nutricional</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76.39</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92.42</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16.03</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5</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Nacional de Ciencia y Tecnología</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81.94</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92.31</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10.37</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6</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Inteligencia Estratégica del Estado</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81.25</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91.07</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9.82</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Privada de la Presidencia</w:t>
            </w:r>
          </w:p>
        </w:tc>
        <w:tc>
          <w:tcPr>
            <w:tcW w:w="1374" w:type="dxa"/>
            <w:tcBorders>
              <w:top w:val="nil"/>
              <w:left w:val="nil"/>
              <w:bottom w:val="single" w:sz="4" w:space="0" w:color="auto"/>
              <w:right w:val="single" w:sz="4" w:space="0" w:color="auto"/>
            </w:tcBorders>
            <w:shd w:val="clear" w:color="000000" w:fill="00B05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91.18</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88.24</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-2.94</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General de la Presidencia de la República</w:t>
            </w:r>
          </w:p>
        </w:tc>
        <w:tc>
          <w:tcPr>
            <w:tcW w:w="1374" w:type="dxa"/>
            <w:tcBorders>
              <w:top w:val="nil"/>
              <w:left w:val="nil"/>
              <w:bottom w:val="single" w:sz="4" w:space="0" w:color="auto"/>
              <w:right w:val="single" w:sz="4" w:space="0" w:color="auto"/>
            </w:tcBorders>
            <w:shd w:val="clear" w:color="000000" w:fill="00B05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86.67</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87.50</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0.83</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lastRenderedPageBreak/>
              <w:t>9</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Planificación y Programación de la Presidencia</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81.25</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87.18</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5.93</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10</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las Obras Sociales de la Esposa del Presidente</w:t>
            </w:r>
          </w:p>
        </w:tc>
        <w:tc>
          <w:tcPr>
            <w:tcW w:w="1374" w:type="dxa"/>
            <w:tcBorders>
              <w:top w:val="nil"/>
              <w:left w:val="nil"/>
              <w:bottom w:val="single" w:sz="4" w:space="0" w:color="auto"/>
              <w:right w:val="single" w:sz="4" w:space="0" w:color="auto"/>
            </w:tcBorders>
            <w:shd w:val="clear" w:color="000000" w:fill="00B05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89.47</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85.00</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-4.47</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11</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Coordinación Ejecutiva de la Presidencia</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72.86</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81.25</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8.39</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12</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Comunicación Social de la Presidencia</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75.00</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74.14</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-0.86</w:t>
            </w:r>
          </w:p>
        </w:tc>
      </w:tr>
      <w:tr w:rsidR="002868F2" w:rsidRPr="003C20C9" w:rsidTr="000E7485">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13</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Ejecutiva de la Comisión contra las Adicciones y el Tráfico Ilícito de Drogas</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70.73</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70.59</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-0.14</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14</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Bienestar Social de la Presidencia</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60.47</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69.23</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8.76</w:t>
            </w:r>
          </w:p>
        </w:tc>
      </w:tr>
      <w:tr w:rsidR="002868F2" w:rsidRPr="003C20C9" w:rsidTr="000E7485">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15</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Asuntos Administrativos y de Seguridad de la Presidencia</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68.92</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30.49</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-38.43</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16</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Asuntos Agrarios de la Presidencia</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75.71</w:t>
            </w:r>
          </w:p>
        </w:tc>
        <w:tc>
          <w:tcPr>
            <w:tcW w:w="1461" w:type="dxa"/>
            <w:tcBorders>
              <w:top w:val="nil"/>
              <w:left w:val="nil"/>
              <w:bottom w:val="single" w:sz="4" w:space="0" w:color="auto"/>
              <w:right w:val="single" w:sz="4" w:space="0" w:color="auto"/>
            </w:tcBorders>
            <w:shd w:val="clear" w:color="000000" w:fill="FFFFFF"/>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En liquidación</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 </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17</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Secretaría de la Paz</w:t>
            </w:r>
          </w:p>
        </w:tc>
        <w:tc>
          <w:tcPr>
            <w:tcW w:w="1374" w:type="dxa"/>
            <w:tcBorders>
              <w:top w:val="nil"/>
              <w:left w:val="nil"/>
              <w:bottom w:val="single" w:sz="4" w:space="0" w:color="auto"/>
              <w:right w:val="single" w:sz="4" w:space="0" w:color="auto"/>
            </w:tcBorders>
            <w:shd w:val="clear" w:color="000000" w:fill="FFFF00"/>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64.71</w:t>
            </w:r>
          </w:p>
        </w:tc>
        <w:tc>
          <w:tcPr>
            <w:tcW w:w="1461" w:type="dxa"/>
            <w:tcBorders>
              <w:top w:val="nil"/>
              <w:left w:val="nil"/>
              <w:bottom w:val="single" w:sz="4" w:space="0" w:color="auto"/>
              <w:right w:val="single" w:sz="4" w:space="0" w:color="auto"/>
            </w:tcBorders>
            <w:shd w:val="clear" w:color="000000" w:fill="FFFFFF"/>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En liquidación</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jc w:val="center"/>
              <w:rPr>
                <w:rFonts w:ascii="Times New Roman" w:eastAsia="Times New Roman" w:hAnsi="Times New Roman" w:cs="Times New Roman"/>
                <w:color w:val="000000"/>
                <w:sz w:val="20"/>
                <w:szCs w:val="20"/>
                <w:lang w:eastAsia="es-GT"/>
              </w:rPr>
            </w:pPr>
            <w:r w:rsidRPr="003C20C9">
              <w:rPr>
                <w:rFonts w:ascii="Times New Roman" w:eastAsia="Times New Roman" w:hAnsi="Times New Roman" w:cs="Times New Roman"/>
                <w:color w:val="000000"/>
                <w:sz w:val="20"/>
                <w:szCs w:val="20"/>
                <w:lang w:eastAsia="es-GT"/>
              </w:rPr>
              <w:t> </w:t>
            </w:r>
          </w:p>
        </w:tc>
      </w:tr>
      <w:tr w:rsidR="002868F2" w:rsidRPr="003C20C9" w:rsidTr="000E7485">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868F2" w:rsidRPr="003C20C9" w:rsidRDefault="002868F2" w:rsidP="003C20C9">
            <w:pPr>
              <w:spacing w:after="0" w:line="240" w:lineRule="auto"/>
              <w:rPr>
                <w:rFonts w:ascii="Calibri" w:eastAsia="Times New Roman" w:hAnsi="Calibri" w:cs="Times New Roman"/>
                <w:color w:val="000000"/>
                <w:lang w:eastAsia="es-GT"/>
              </w:rPr>
            </w:pPr>
            <w:r w:rsidRPr="003C20C9">
              <w:rPr>
                <w:rFonts w:ascii="Calibri" w:eastAsia="Times New Roman" w:hAnsi="Calibri" w:cs="Times New Roman"/>
                <w:color w:val="000000"/>
                <w:lang w:eastAsia="es-GT"/>
              </w:rPr>
              <w:t> </w:t>
            </w:r>
          </w:p>
        </w:tc>
        <w:tc>
          <w:tcPr>
            <w:tcW w:w="4335"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jc w:val="right"/>
              <w:rPr>
                <w:rFonts w:ascii="Times New Roman" w:eastAsia="Times New Roman" w:hAnsi="Times New Roman" w:cs="Times New Roman"/>
                <w:b/>
                <w:bCs/>
                <w:color w:val="000000"/>
                <w:sz w:val="20"/>
                <w:szCs w:val="20"/>
                <w:lang w:eastAsia="es-GT"/>
              </w:rPr>
            </w:pPr>
            <w:r w:rsidRPr="003C20C9">
              <w:rPr>
                <w:rFonts w:ascii="Times New Roman" w:eastAsia="Times New Roman" w:hAnsi="Times New Roman" w:cs="Times New Roman"/>
                <w:b/>
                <w:bCs/>
                <w:color w:val="000000"/>
                <w:sz w:val="20"/>
                <w:szCs w:val="20"/>
                <w:lang w:eastAsia="es-GT"/>
              </w:rPr>
              <w:t>PROMEDIO DEL SECTOR</w:t>
            </w:r>
          </w:p>
        </w:tc>
        <w:tc>
          <w:tcPr>
            <w:tcW w:w="1374"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jc w:val="center"/>
              <w:rPr>
                <w:rFonts w:ascii="Times New Roman" w:eastAsia="Times New Roman" w:hAnsi="Times New Roman" w:cs="Times New Roman"/>
                <w:b/>
                <w:bCs/>
                <w:color w:val="000000"/>
                <w:sz w:val="20"/>
                <w:szCs w:val="20"/>
                <w:lang w:eastAsia="es-GT"/>
              </w:rPr>
            </w:pPr>
            <w:r w:rsidRPr="003C20C9">
              <w:rPr>
                <w:rFonts w:ascii="Times New Roman" w:eastAsia="Times New Roman" w:hAnsi="Times New Roman" w:cs="Times New Roman"/>
                <w:b/>
                <w:bCs/>
                <w:color w:val="000000"/>
                <w:sz w:val="20"/>
                <w:szCs w:val="20"/>
                <w:lang w:eastAsia="es-GT"/>
              </w:rPr>
              <w:t>77.42</w:t>
            </w:r>
          </w:p>
        </w:tc>
        <w:tc>
          <w:tcPr>
            <w:tcW w:w="1461" w:type="dxa"/>
            <w:tcBorders>
              <w:top w:val="nil"/>
              <w:left w:val="nil"/>
              <w:bottom w:val="single" w:sz="4" w:space="0" w:color="auto"/>
              <w:right w:val="single" w:sz="4" w:space="0" w:color="auto"/>
            </w:tcBorders>
            <w:shd w:val="clear" w:color="auto" w:fill="auto"/>
            <w:vAlign w:val="center"/>
            <w:hideMark/>
          </w:tcPr>
          <w:p w:rsidR="002868F2" w:rsidRPr="003C20C9" w:rsidRDefault="002868F2" w:rsidP="003C20C9">
            <w:pPr>
              <w:spacing w:after="0" w:line="240" w:lineRule="auto"/>
              <w:jc w:val="center"/>
              <w:rPr>
                <w:rFonts w:ascii="Times New Roman" w:eastAsia="Times New Roman" w:hAnsi="Times New Roman" w:cs="Times New Roman"/>
                <w:b/>
                <w:bCs/>
                <w:color w:val="000000"/>
                <w:sz w:val="20"/>
                <w:szCs w:val="20"/>
                <w:lang w:eastAsia="es-GT"/>
              </w:rPr>
            </w:pPr>
            <w:r w:rsidRPr="003C20C9">
              <w:rPr>
                <w:rFonts w:ascii="Times New Roman" w:eastAsia="Times New Roman" w:hAnsi="Times New Roman" w:cs="Times New Roman"/>
                <w:b/>
                <w:bCs/>
                <w:color w:val="000000"/>
                <w:sz w:val="20"/>
                <w:szCs w:val="20"/>
                <w:lang w:eastAsia="es-GT"/>
              </w:rPr>
              <w:t>82.79</w:t>
            </w:r>
          </w:p>
        </w:tc>
        <w:tc>
          <w:tcPr>
            <w:tcW w:w="1417" w:type="dxa"/>
            <w:tcBorders>
              <w:top w:val="nil"/>
              <w:left w:val="nil"/>
              <w:bottom w:val="single" w:sz="4" w:space="0" w:color="auto"/>
              <w:right w:val="single" w:sz="4" w:space="0" w:color="auto"/>
            </w:tcBorders>
            <w:shd w:val="clear" w:color="auto" w:fill="auto"/>
            <w:noWrap/>
            <w:vAlign w:val="center"/>
            <w:hideMark/>
          </w:tcPr>
          <w:p w:rsidR="002868F2" w:rsidRPr="003C20C9" w:rsidRDefault="002868F2" w:rsidP="003C20C9">
            <w:pPr>
              <w:spacing w:after="0" w:line="240" w:lineRule="auto"/>
              <w:rPr>
                <w:rFonts w:ascii="Calibri" w:eastAsia="Times New Roman" w:hAnsi="Calibri" w:cs="Times New Roman"/>
                <w:color w:val="000000"/>
                <w:lang w:eastAsia="es-GT"/>
              </w:rPr>
            </w:pPr>
            <w:r w:rsidRPr="003C20C9">
              <w:rPr>
                <w:rFonts w:ascii="Calibri" w:eastAsia="Times New Roman" w:hAnsi="Calibri" w:cs="Times New Roman"/>
                <w:color w:val="000000"/>
                <w:lang w:eastAsia="es-GT"/>
              </w:rPr>
              <w:t> </w:t>
            </w:r>
          </w:p>
        </w:tc>
      </w:tr>
    </w:tbl>
    <w:p w:rsidR="00040E8A" w:rsidRDefault="00040E8A" w:rsidP="0030326B">
      <w:pPr>
        <w:spacing w:after="0"/>
        <w:jc w:val="both"/>
        <w:rPr>
          <w:rFonts w:ascii="Times New Roman" w:hAnsi="Times New Roman" w:cs="Times New Roman"/>
          <w:b/>
          <w:sz w:val="18"/>
          <w:szCs w:val="18"/>
        </w:rPr>
      </w:pPr>
    </w:p>
    <w:p w:rsidR="0030326B" w:rsidRPr="008064EB" w:rsidRDefault="0030326B" w:rsidP="0030326B">
      <w:pPr>
        <w:spacing w:after="0"/>
        <w:jc w:val="both"/>
        <w:rPr>
          <w:rFonts w:ascii="Times New Roman" w:hAnsi="Times New Roman" w:cs="Times New Roman"/>
          <w:sz w:val="18"/>
          <w:szCs w:val="18"/>
        </w:rPr>
      </w:pPr>
      <w:r w:rsidRPr="008064EB">
        <w:rPr>
          <w:rFonts w:ascii="Times New Roman" w:hAnsi="Times New Roman" w:cs="Times New Roman"/>
          <w:b/>
          <w:sz w:val="18"/>
          <w:szCs w:val="18"/>
        </w:rPr>
        <w:t>Fuente:</w:t>
      </w:r>
      <w:r w:rsidRPr="008064EB">
        <w:rPr>
          <w:rFonts w:ascii="Times New Roman" w:hAnsi="Times New Roman" w:cs="Times New Roman"/>
          <w:sz w:val="18"/>
          <w:szCs w:val="18"/>
        </w:rPr>
        <w:t xml:space="preserve"> Datos propios de SECAI obtenidos de supervisiones a portales electrónicos durante </w:t>
      </w:r>
      <w:r w:rsidR="00F0123A">
        <w:rPr>
          <w:rFonts w:ascii="Times New Roman" w:hAnsi="Times New Roman" w:cs="Times New Roman"/>
          <w:sz w:val="18"/>
          <w:szCs w:val="18"/>
        </w:rPr>
        <w:t>los</w:t>
      </w:r>
      <w:r w:rsidRPr="008064EB">
        <w:rPr>
          <w:rFonts w:ascii="Times New Roman" w:hAnsi="Times New Roman" w:cs="Times New Roman"/>
          <w:sz w:val="18"/>
          <w:szCs w:val="18"/>
        </w:rPr>
        <w:t xml:space="preserve"> año</w:t>
      </w:r>
      <w:r w:rsidR="00F0123A">
        <w:rPr>
          <w:rFonts w:ascii="Times New Roman" w:hAnsi="Times New Roman" w:cs="Times New Roman"/>
          <w:sz w:val="18"/>
          <w:szCs w:val="18"/>
        </w:rPr>
        <w:t>s 2019 y</w:t>
      </w:r>
      <w:r w:rsidRPr="008064EB">
        <w:rPr>
          <w:rFonts w:ascii="Times New Roman" w:hAnsi="Times New Roman" w:cs="Times New Roman"/>
          <w:sz w:val="18"/>
          <w:szCs w:val="18"/>
        </w:rPr>
        <w:t xml:space="preserve"> 2020.</w:t>
      </w:r>
    </w:p>
    <w:p w:rsidR="003C20C9" w:rsidRDefault="003C20C9" w:rsidP="0030326B">
      <w:pPr>
        <w:spacing w:after="0"/>
        <w:rPr>
          <w:rFonts w:ascii="Times New Roman" w:hAnsi="Times New Roman" w:cs="Times New Roman"/>
          <w:sz w:val="24"/>
          <w:szCs w:val="24"/>
        </w:rPr>
      </w:pPr>
    </w:p>
    <w:p w:rsidR="0030326B" w:rsidRDefault="0030326B" w:rsidP="0030326B">
      <w:pPr>
        <w:spacing w:after="0"/>
        <w:rPr>
          <w:rFonts w:ascii="Times New Roman" w:hAnsi="Times New Roman" w:cs="Times New Roman"/>
          <w:sz w:val="24"/>
          <w:szCs w:val="24"/>
        </w:rPr>
      </w:pPr>
    </w:p>
    <w:p w:rsidR="0030326B" w:rsidRPr="0032626C" w:rsidRDefault="0030326B" w:rsidP="0032626C">
      <w:pPr>
        <w:pStyle w:val="Ttulo2"/>
        <w:rPr>
          <w:rFonts w:ascii="Times New Roman" w:hAnsi="Times New Roman" w:cs="Times New Roman"/>
          <w:b/>
          <w:color w:val="auto"/>
          <w:sz w:val="24"/>
          <w:szCs w:val="24"/>
        </w:rPr>
      </w:pPr>
      <w:bookmarkStart w:id="59" w:name="_Toc60223898"/>
      <w:r w:rsidRPr="0032626C">
        <w:rPr>
          <w:rFonts w:ascii="Times New Roman" w:hAnsi="Times New Roman" w:cs="Times New Roman"/>
          <w:b/>
          <w:color w:val="auto"/>
          <w:sz w:val="24"/>
          <w:szCs w:val="24"/>
        </w:rPr>
        <w:t>Comparativo del nivel de cumplimiento de los portales electrónicos de los mi</w:t>
      </w:r>
      <w:r w:rsidR="00040E8A" w:rsidRPr="0032626C">
        <w:rPr>
          <w:rFonts w:ascii="Times New Roman" w:hAnsi="Times New Roman" w:cs="Times New Roman"/>
          <w:b/>
          <w:color w:val="auto"/>
          <w:sz w:val="24"/>
          <w:szCs w:val="24"/>
        </w:rPr>
        <w:t>nisterios en los años 2019-2020</w:t>
      </w:r>
      <w:bookmarkEnd w:id="59"/>
    </w:p>
    <w:p w:rsidR="002059B9" w:rsidRDefault="002059B9" w:rsidP="0030326B">
      <w:pPr>
        <w:spacing w:after="0"/>
        <w:jc w:val="both"/>
        <w:rPr>
          <w:rFonts w:ascii="Times New Roman" w:hAnsi="Times New Roman" w:cs="Times New Roman"/>
          <w:b/>
          <w:sz w:val="18"/>
          <w:szCs w:val="18"/>
        </w:rPr>
      </w:pPr>
    </w:p>
    <w:tbl>
      <w:tblPr>
        <w:tblW w:w="9087" w:type="dxa"/>
        <w:tblInd w:w="55" w:type="dxa"/>
        <w:tblCellMar>
          <w:left w:w="70" w:type="dxa"/>
          <w:right w:w="70" w:type="dxa"/>
        </w:tblCellMar>
        <w:tblLook w:val="04A0" w:firstRow="1" w:lastRow="0" w:firstColumn="1" w:lastColumn="0" w:noHBand="0" w:noVBand="1"/>
      </w:tblPr>
      <w:tblGrid>
        <w:gridCol w:w="500"/>
        <w:gridCol w:w="4335"/>
        <w:gridCol w:w="1374"/>
        <w:gridCol w:w="1461"/>
        <w:gridCol w:w="1417"/>
      </w:tblGrid>
      <w:tr w:rsidR="002059B9" w:rsidRPr="002059B9" w:rsidTr="002059B9">
        <w:trPr>
          <w:trHeight w:val="765"/>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059B9" w:rsidRPr="002059B9" w:rsidRDefault="002059B9" w:rsidP="002059B9">
            <w:pPr>
              <w:spacing w:after="0" w:line="240" w:lineRule="auto"/>
              <w:jc w:val="center"/>
              <w:rPr>
                <w:rFonts w:ascii="Times New Roman" w:eastAsia="Times New Roman" w:hAnsi="Times New Roman" w:cs="Times New Roman"/>
                <w:b/>
                <w:bCs/>
                <w:color w:val="000000"/>
                <w:sz w:val="20"/>
                <w:szCs w:val="20"/>
                <w:lang w:eastAsia="es-GT"/>
              </w:rPr>
            </w:pPr>
            <w:r w:rsidRPr="002059B9">
              <w:rPr>
                <w:rFonts w:ascii="Times New Roman" w:eastAsia="Times New Roman" w:hAnsi="Times New Roman" w:cs="Times New Roman"/>
                <w:b/>
                <w:bCs/>
                <w:color w:val="000000"/>
                <w:sz w:val="20"/>
                <w:szCs w:val="20"/>
                <w:lang w:eastAsia="es-GT"/>
              </w:rPr>
              <w:t>No.</w:t>
            </w:r>
          </w:p>
        </w:tc>
        <w:tc>
          <w:tcPr>
            <w:tcW w:w="4335" w:type="dxa"/>
            <w:tcBorders>
              <w:top w:val="single" w:sz="4" w:space="0" w:color="auto"/>
              <w:left w:val="nil"/>
              <w:bottom w:val="single" w:sz="4" w:space="0" w:color="auto"/>
              <w:right w:val="single" w:sz="4" w:space="0" w:color="auto"/>
            </w:tcBorders>
            <w:shd w:val="clear" w:color="000000" w:fill="BFBFBF"/>
            <w:noWrap/>
            <w:vAlign w:val="center"/>
            <w:hideMark/>
          </w:tcPr>
          <w:p w:rsidR="002059B9" w:rsidRPr="002059B9" w:rsidRDefault="002059B9" w:rsidP="002059B9">
            <w:pPr>
              <w:spacing w:after="0" w:line="240" w:lineRule="auto"/>
              <w:jc w:val="center"/>
              <w:rPr>
                <w:rFonts w:ascii="Times New Roman" w:eastAsia="Times New Roman" w:hAnsi="Times New Roman" w:cs="Times New Roman"/>
                <w:b/>
                <w:bCs/>
                <w:color w:val="000000"/>
                <w:sz w:val="20"/>
                <w:szCs w:val="20"/>
                <w:lang w:eastAsia="es-GT"/>
              </w:rPr>
            </w:pPr>
            <w:r w:rsidRPr="002059B9">
              <w:rPr>
                <w:rFonts w:ascii="Times New Roman" w:eastAsia="Times New Roman" w:hAnsi="Times New Roman" w:cs="Times New Roman"/>
                <w:b/>
                <w:bCs/>
                <w:color w:val="000000"/>
                <w:sz w:val="20"/>
                <w:szCs w:val="20"/>
                <w:lang w:eastAsia="es-GT"/>
              </w:rPr>
              <w:t>Entidad</w:t>
            </w:r>
          </w:p>
        </w:tc>
        <w:tc>
          <w:tcPr>
            <w:tcW w:w="1374" w:type="dxa"/>
            <w:tcBorders>
              <w:top w:val="single" w:sz="4" w:space="0" w:color="auto"/>
              <w:left w:val="nil"/>
              <w:bottom w:val="single" w:sz="4" w:space="0" w:color="auto"/>
              <w:right w:val="single" w:sz="4" w:space="0" w:color="auto"/>
            </w:tcBorders>
            <w:shd w:val="clear" w:color="000000" w:fill="BFBFBF"/>
            <w:vAlign w:val="center"/>
            <w:hideMark/>
          </w:tcPr>
          <w:p w:rsidR="002059B9" w:rsidRPr="002059B9" w:rsidRDefault="002059B9" w:rsidP="002059B9">
            <w:pPr>
              <w:spacing w:after="0" w:line="240" w:lineRule="auto"/>
              <w:jc w:val="center"/>
              <w:rPr>
                <w:rFonts w:ascii="Times New Roman" w:eastAsia="Times New Roman" w:hAnsi="Times New Roman" w:cs="Times New Roman"/>
                <w:b/>
                <w:bCs/>
                <w:color w:val="000000"/>
                <w:sz w:val="20"/>
                <w:szCs w:val="20"/>
                <w:lang w:eastAsia="es-GT"/>
              </w:rPr>
            </w:pPr>
            <w:r w:rsidRPr="002059B9">
              <w:rPr>
                <w:rFonts w:ascii="Times New Roman" w:eastAsia="Times New Roman" w:hAnsi="Times New Roman" w:cs="Times New Roman"/>
                <w:b/>
                <w:bCs/>
                <w:color w:val="000000"/>
                <w:sz w:val="20"/>
                <w:szCs w:val="20"/>
                <w:lang w:eastAsia="es-GT"/>
              </w:rPr>
              <w:t>Nivel de Cumplimiento 2019</w:t>
            </w:r>
          </w:p>
        </w:tc>
        <w:tc>
          <w:tcPr>
            <w:tcW w:w="1461" w:type="dxa"/>
            <w:tcBorders>
              <w:top w:val="single" w:sz="4" w:space="0" w:color="auto"/>
              <w:left w:val="nil"/>
              <w:bottom w:val="single" w:sz="4" w:space="0" w:color="auto"/>
              <w:right w:val="single" w:sz="4" w:space="0" w:color="auto"/>
            </w:tcBorders>
            <w:shd w:val="clear" w:color="000000" w:fill="BFBFBF"/>
            <w:vAlign w:val="center"/>
            <w:hideMark/>
          </w:tcPr>
          <w:p w:rsidR="002059B9" w:rsidRPr="002059B9" w:rsidRDefault="002059B9" w:rsidP="002059B9">
            <w:pPr>
              <w:spacing w:after="0" w:line="240" w:lineRule="auto"/>
              <w:jc w:val="center"/>
              <w:rPr>
                <w:rFonts w:ascii="Times New Roman" w:eastAsia="Times New Roman" w:hAnsi="Times New Roman" w:cs="Times New Roman"/>
                <w:b/>
                <w:bCs/>
                <w:color w:val="000000"/>
                <w:sz w:val="20"/>
                <w:szCs w:val="20"/>
                <w:lang w:eastAsia="es-GT"/>
              </w:rPr>
            </w:pPr>
            <w:r w:rsidRPr="002059B9">
              <w:rPr>
                <w:rFonts w:ascii="Times New Roman" w:eastAsia="Times New Roman" w:hAnsi="Times New Roman" w:cs="Times New Roman"/>
                <w:b/>
                <w:bCs/>
                <w:color w:val="000000"/>
                <w:sz w:val="20"/>
                <w:szCs w:val="20"/>
                <w:lang w:eastAsia="es-GT"/>
              </w:rPr>
              <w:t>Nivel de Cumplimiento 2020</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2059B9" w:rsidRPr="002059B9" w:rsidRDefault="002059B9" w:rsidP="002059B9">
            <w:pPr>
              <w:spacing w:after="0" w:line="240" w:lineRule="auto"/>
              <w:jc w:val="center"/>
              <w:rPr>
                <w:rFonts w:ascii="Times New Roman" w:eastAsia="Times New Roman" w:hAnsi="Times New Roman" w:cs="Times New Roman"/>
                <w:b/>
                <w:bCs/>
                <w:color w:val="000000"/>
                <w:sz w:val="20"/>
                <w:szCs w:val="20"/>
                <w:lang w:eastAsia="es-GT"/>
              </w:rPr>
            </w:pPr>
            <w:r w:rsidRPr="002059B9">
              <w:rPr>
                <w:rFonts w:ascii="Times New Roman" w:eastAsia="Times New Roman" w:hAnsi="Times New Roman" w:cs="Times New Roman"/>
                <w:b/>
                <w:bCs/>
                <w:color w:val="000000"/>
                <w:sz w:val="20"/>
                <w:szCs w:val="20"/>
                <w:lang w:eastAsia="es-GT"/>
              </w:rPr>
              <w:t>Diferencia</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1</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Finanzas Públicas.</w:t>
            </w:r>
          </w:p>
        </w:tc>
        <w:tc>
          <w:tcPr>
            <w:tcW w:w="1374" w:type="dxa"/>
            <w:tcBorders>
              <w:top w:val="nil"/>
              <w:left w:val="nil"/>
              <w:bottom w:val="single" w:sz="4" w:space="0" w:color="auto"/>
              <w:right w:val="single" w:sz="4" w:space="0" w:color="auto"/>
            </w:tcBorders>
            <w:shd w:val="clear" w:color="000000" w:fill="FFFF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66.67</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100.00</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33.33</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2</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Cultura y Deportes.</w:t>
            </w:r>
          </w:p>
        </w:tc>
        <w:tc>
          <w:tcPr>
            <w:tcW w:w="1374" w:type="dxa"/>
            <w:tcBorders>
              <w:top w:val="nil"/>
              <w:left w:val="nil"/>
              <w:bottom w:val="single" w:sz="4" w:space="0" w:color="auto"/>
              <w:right w:val="single" w:sz="4" w:space="0" w:color="auto"/>
            </w:tcBorders>
            <w:shd w:val="clear" w:color="000000" w:fill="00B05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93.73</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97.20</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3.47</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3</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Gobernación.</w:t>
            </w:r>
          </w:p>
        </w:tc>
        <w:tc>
          <w:tcPr>
            <w:tcW w:w="1374" w:type="dxa"/>
            <w:tcBorders>
              <w:top w:val="nil"/>
              <w:left w:val="nil"/>
              <w:bottom w:val="single" w:sz="4" w:space="0" w:color="auto"/>
              <w:right w:val="single" w:sz="4" w:space="0" w:color="auto"/>
            </w:tcBorders>
            <w:shd w:val="clear" w:color="000000" w:fill="00B05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92.30</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93.64</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1.34</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4</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Energía y Minas.</w:t>
            </w:r>
          </w:p>
        </w:tc>
        <w:tc>
          <w:tcPr>
            <w:tcW w:w="1374" w:type="dxa"/>
            <w:tcBorders>
              <w:top w:val="nil"/>
              <w:left w:val="nil"/>
              <w:bottom w:val="single" w:sz="4" w:space="0" w:color="auto"/>
              <w:right w:val="single" w:sz="4" w:space="0" w:color="auto"/>
            </w:tcBorders>
            <w:shd w:val="clear" w:color="000000" w:fill="FFFF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72.62</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90.28</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17.66</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5</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Desarrollo Social</w:t>
            </w:r>
          </w:p>
        </w:tc>
        <w:tc>
          <w:tcPr>
            <w:tcW w:w="1374" w:type="dxa"/>
            <w:tcBorders>
              <w:top w:val="nil"/>
              <w:left w:val="nil"/>
              <w:bottom w:val="single" w:sz="4" w:space="0" w:color="auto"/>
              <w:right w:val="single" w:sz="4" w:space="0" w:color="auto"/>
            </w:tcBorders>
            <w:shd w:val="clear" w:color="000000" w:fill="00B05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95.71</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90.00</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-5.71</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6</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Ambiente y Recursos Naturales.</w:t>
            </w:r>
          </w:p>
        </w:tc>
        <w:tc>
          <w:tcPr>
            <w:tcW w:w="1374" w:type="dxa"/>
            <w:tcBorders>
              <w:top w:val="nil"/>
              <w:left w:val="nil"/>
              <w:bottom w:val="single" w:sz="4" w:space="0" w:color="auto"/>
              <w:right w:val="single" w:sz="4" w:space="0" w:color="auto"/>
            </w:tcBorders>
            <w:shd w:val="clear" w:color="000000" w:fill="FFFF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78.95</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86.84</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7.89</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7</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Comunicaciones, Infraestructura y Vivienda.</w:t>
            </w:r>
          </w:p>
        </w:tc>
        <w:tc>
          <w:tcPr>
            <w:tcW w:w="1374" w:type="dxa"/>
            <w:tcBorders>
              <w:top w:val="nil"/>
              <w:left w:val="nil"/>
              <w:bottom w:val="single" w:sz="4" w:space="0" w:color="auto"/>
              <w:right w:val="single" w:sz="4" w:space="0" w:color="auto"/>
            </w:tcBorders>
            <w:shd w:val="clear" w:color="000000" w:fill="FFFF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81.17</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85.45</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4.28</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8</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Educación.</w:t>
            </w:r>
          </w:p>
        </w:tc>
        <w:tc>
          <w:tcPr>
            <w:tcW w:w="1374" w:type="dxa"/>
            <w:tcBorders>
              <w:top w:val="nil"/>
              <w:left w:val="nil"/>
              <w:bottom w:val="single" w:sz="4" w:space="0" w:color="auto"/>
              <w:right w:val="single" w:sz="4" w:space="0" w:color="auto"/>
            </w:tcBorders>
            <w:shd w:val="clear" w:color="000000" w:fill="00B05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85.37</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84.52</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-0.85</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9</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Relaciones Exteriores.</w:t>
            </w:r>
          </w:p>
        </w:tc>
        <w:tc>
          <w:tcPr>
            <w:tcW w:w="1374" w:type="dxa"/>
            <w:tcBorders>
              <w:top w:val="nil"/>
              <w:left w:val="nil"/>
              <w:bottom w:val="single" w:sz="4" w:space="0" w:color="auto"/>
              <w:right w:val="single" w:sz="4" w:space="0" w:color="auto"/>
            </w:tcBorders>
            <w:shd w:val="clear" w:color="000000" w:fill="FFFF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77.50</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84.15</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6.65</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10</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Agricultura, Ganadería y Alimentación.</w:t>
            </w:r>
          </w:p>
        </w:tc>
        <w:tc>
          <w:tcPr>
            <w:tcW w:w="1374" w:type="dxa"/>
            <w:tcBorders>
              <w:top w:val="nil"/>
              <w:left w:val="nil"/>
              <w:bottom w:val="single" w:sz="4" w:space="0" w:color="auto"/>
              <w:right w:val="single" w:sz="4" w:space="0" w:color="auto"/>
            </w:tcBorders>
            <w:shd w:val="clear" w:color="000000" w:fill="FF00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35.37</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82.14</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46.77</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11</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Economía.</w:t>
            </w:r>
          </w:p>
        </w:tc>
        <w:tc>
          <w:tcPr>
            <w:tcW w:w="1374" w:type="dxa"/>
            <w:tcBorders>
              <w:top w:val="nil"/>
              <w:left w:val="nil"/>
              <w:bottom w:val="single" w:sz="4" w:space="0" w:color="auto"/>
              <w:right w:val="single" w:sz="4" w:space="0" w:color="auto"/>
            </w:tcBorders>
            <w:shd w:val="clear" w:color="000000" w:fill="FFFF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75.00</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82.05</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7.05</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12</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la Defensa Nacional.</w:t>
            </w:r>
          </w:p>
        </w:tc>
        <w:tc>
          <w:tcPr>
            <w:tcW w:w="1374" w:type="dxa"/>
            <w:tcBorders>
              <w:top w:val="nil"/>
              <w:left w:val="nil"/>
              <w:bottom w:val="single" w:sz="4" w:space="0" w:color="auto"/>
              <w:right w:val="single" w:sz="4" w:space="0" w:color="auto"/>
            </w:tcBorders>
            <w:shd w:val="clear" w:color="000000" w:fill="FFFF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81.08</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80.26</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-0.82</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13</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Trabajo y Previsión Social.</w:t>
            </w:r>
          </w:p>
        </w:tc>
        <w:tc>
          <w:tcPr>
            <w:tcW w:w="1374" w:type="dxa"/>
            <w:tcBorders>
              <w:top w:val="nil"/>
              <w:left w:val="nil"/>
              <w:bottom w:val="single" w:sz="4" w:space="0" w:color="auto"/>
              <w:right w:val="single" w:sz="4" w:space="0" w:color="auto"/>
            </w:tcBorders>
            <w:shd w:val="clear" w:color="000000" w:fill="FF00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57.32</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67.95</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10.63</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14</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Ministerio de Salud Pública y Asistencia Social.</w:t>
            </w:r>
          </w:p>
        </w:tc>
        <w:tc>
          <w:tcPr>
            <w:tcW w:w="1374" w:type="dxa"/>
            <w:tcBorders>
              <w:top w:val="nil"/>
              <w:left w:val="nil"/>
              <w:bottom w:val="single" w:sz="4" w:space="0" w:color="auto"/>
              <w:right w:val="single" w:sz="4" w:space="0" w:color="auto"/>
            </w:tcBorders>
            <w:shd w:val="clear" w:color="000000" w:fill="FF0000"/>
            <w:noWrap/>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29.12</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62.57</w:t>
            </w:r>
          </w:p>
        </w:tc>
        <w:tc>
          <w:tcPr>
            <w:tcW w:w="1417" w:type="dxa"/>
            <w:tcBorders>
              <w:top w:val="nil"/>
              <w:left w:val="nil"/>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jc w:val="center"/>
              <w:rPr>
                <w:rFonts w:ascii="Times New Roman" w:eastAsia="Times New Roman" w:hAnsi="Times New Roman" w:cs="Times New Roman"/>
                <w:color w:val="000000"/>
                <w:sz w:val="20"/>
                <w:szCs w:val="20"/>
                <w:lang w:eastAsia="es-GT"/>
              </w:rPr>
            </w:pPr>
            <w:r w:rsidRPr="002059B9">
              <w:rPr>
                <w:rFonts w:ascii="Times New Roman" w:eastAsia="Times New Roman" w:hAnsi="Times New Roman" w:cs="Times New Roman"/>
                <w:color w:val="000000"/>
                <w:sz w:val="20"/>
                <w:szCs w:val="20"/>
                <w:lang w:eastAsia="es-GT"/>
              </w:rPr>
              <w:t>33.45</w:t>
            </w:r>
          </w:p>
        </w:tc>
      </w:tr>
      <w:tr w:rsidR="002059B9" w:rsidRPr="002059B9" w:rsidTr="002059B9">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2059B9" w:rsidRPr="002059B9" w:rsidRDefault="002059B9" w:rsidP="002059B9">
            <w:pPr>
              <w:spacing w:after="0" w:line="240" w:lineRule="auto"/>
              <w:rPr>
                <w:rFonts w:ascii="Calibri" w:eastAsia="Times New Roman" w:hAnsi="Calibri" w:cs="Times New Roman"/>
                <w:color w:val="000000"/>
                <w:lang w:eastAsia="es-GT"/>
              </w:rPr>
            </w:pPr>
            <w:r w:rsidRPr="002059B9">
              <w:rPr>
                <w:rFonts w:ascii="Calibri" w:eastAsia="Times New Roman" w:hAnsi="Calibri" w:cs="Times New Roman"/>
                <w:color w:val="000000"/>
                <w:lang w:eastAsia="es-GT"/>
              </w:rPr>
              <w:t> </w:t>
            </w:r>
          </w:p>
        </w:tc>
        <w:tc>
          <w:tcPr>
            <w:tcW w:w="4335"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jc w:val="right"/>
              <w:rPr>
                <w:rFonts w:ascii="Times New Roman" w:eastAsia="Times New Roman" w:hAnsi="Times New Roman" w:cs="Times New Roman"/>
                <w:b/>
                <w:bCs/>
                <w:color w:val="000000"/>
                <w:sz w:val="20"/>
                <w:szCs w:val="20"/>
                <w:lang w:eastAsia="es-GT"/>
              </w:rPr>
            </w:pPr>
            <w:r w:rsidRPr="002059B9">
              <w:rPr>
                <w:rFonts w:ascii="Times New Roman" w:eastAsia="Times New Roman" w:hAnsi="Times New Roman" w:cs="Times New Roman"/>
                <w:b/>
                <w:bCs/>
                <w:color w:val="000000"/>
                <w:sz w:val="20"/>
                <w:szCs w:val="20"/>
                <w:lang w:eastAsia="es-GT"/>
              </w:rPr>
              <w:t>PROMEDIO DEL SECTOR</w:t>
            </w:r>
          </w:p>
        </w:tc>
        <w:tc>
          <w:tcPr>
            <w:tcW w:w="1374"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jc w:val="center"/>
              <w:rPr>
                <w:rFonts w:ascii="Times New Roman" w:eastAsia="Times New Roman" w:hAnsi="Times New Roman" w:cs="Times New Roman"/>
                <w:b/>
                <w:bCs/>
                <w:color w:val="000000"/>
                <w:sz w:val="20"/>
                <w:szCs w:val="20"/>
                <w:lang w:eastAsia="es-GT"/>
              </w:rPr>
            </w:pPr>
            <w:r w:rsidRPr="002059B9">
              <w:rPr>
                <w:rFonts w:ascii="Times New Roman" w:eastAsia="Times New Roman" w:hAnsi="Times New Roman" w:cs="Times New Roman"/>
                <w:b/>
                <w:bCs/>
                <w:color w:val="000000"/>
                <w:sz w:val="20"/>
                <w:szCs w:val="20"/>
                <w:lang w:eastAsia="es-GT"/>
              </w:rPr>
              <w:t>72.99</w:t>
            </w:r>
          </w:p>
        </w:tc>
        <w:tc>
          <w:tcPr>
            <w:tcW w:w="1461" w:type="dxa"/>
            <w:tcBorders>
              <w:top w:val="nil"/>
              <w:left w:val="nil"/>
              <w:bottom w:val="single" w:sz="4" w:space="0" w:color="auto"/>
              <w:right w:val="single" w:sz="4" w:space="0" w:color="auto"/>
            </w:tcBorders>
            <w:shd w:val="clear" w:color="auto" w:fill="auto"/>
            <w:vAlign w:val="center"/>
            <w:hideMark/>
          </w:tcPr>
          <w:p w:rsidR="002059B9" w:rsidRPr="002059B9" w:rsidRDefault="002059B9" w:rsidP="002059B9">
            <w:pPr>
              <w:spacing w:after="0" w:line="240" w:lineRule="auto"/>
              <w:jc w:val="center"/>
              <w:rPr>
                <w:rFonts w:ascii="Times New Roman" w:eastAsia="Times New Roman" w:hAnsi="Times New Roman" w:cs="Times New Roman"/>
                <w:b/>
                <w:bCs/>
                <w:color w:val="000000"/>
                <w:sz w:val="20"/>
                <w:szCs w:val="20"/>
                <w:lang w:eastAsia="es-GT"/>
              </w:rPr>
            </w:pPr>
            <w:r w:rsidRPr="002059B9">
              <w:rPr>
                <w:rFonts w:ascii="Times New Roman" w:eastAsia="Times New Roman" w:hAnsi="Times New Roman" w:cs="Times New Roman"/>
                <w:b/>
                <w:bCs/>
                <w:color w:val="000000"/>
                <w:sz w:val="20"/>
                <w:szCs w:val="20"/>
                <w:lang w:eastAsia="es-GT"/>
              </w:rPr>
              <w:t>84.79</w:t>
            </w:r>
          </w:p>
        </w:tc>
        <w:tc>
          <w:tcPr>
            <w:tcW w:w="1417" w:type="dxa"/>
            <w:tcBorders>
              <w:top w:val="nil"/>
              <w:left w:val="nil"/>
              <w:bottom w:val="single" w:sz="4" w:space="0" w:color="auto"/>
              <w:right w:val="single" w:sz="4" w:space="0" w:color="auto"/>
            </w:tcBorders>
            <w:shd w:val="clear" w:color="auto" w:fill="auto"/>
            <w:noWrap/>
            <w:vAlign w:val="center"/>
            <w:hideMark/>
          </w:tcPr>
          <w:p w:rsidR="002059B9" w:rsidRPr="002059B9" w:rsidRDefault="002059B9" w:rsidP="002059B9">
            <w:pPr>
              <w:spacing w:after="0" w:line="240" w:lineRule="auto"/>
              <w:rPr>
                <w:rFonts w:ascii="Calibri" w:eastAsia="Times New Roman" w:hAnsi="Calibri" w:cs="Times New Roman"/>
                <w:color w:val="000000"/>
                <w:lang w:eastAsia="es-GT"/>
              </w:rPr>
            </w:pPr>
            <w:r w:rsidRPr="002059B9">
              <w:rPr>
                <w:rFonts w:ascii="Calibri" w:eastAsia="Times New Roman" w:hAnsi="Calibri" w:cs="Times New Roman"/>
                <w:color w:val="000000"/>
                <w:lang w:eastAsia="es-GT"/>
              </w:rPr>
              <w:t> </w:t>
            </w:r>
          </w:p>
        </w:tc>
      </w:tr>
    </w:tbl>
    <w:p w:rsidR="002059B9" w:rsidRDefault="002059B9" w:rsidP="0030326B">
      <w:pPr>
        <w:spacing w:after="0"/>
        <w:jc w:val="both"/>
        <w:rPr>
          <w:rFonts w:ascii="Times New Roman" w:hAnsi="Times New Roman" w:cs="Times New Roman"/>
          <w:b/>
          <w:sz w:val="18"/>
          <w:szCs w:val="18"/>
        </w:rPr>
      </w:pPr>
    </w:p>
    <w:p w:rsidR="00F0123A" w:rsidRPr="008064EB" w:rsidRDefault="00F0123A" w:rsidP="00F0123A">
      <w:pPr>
        <w:spacing w:after="0"/>
        <w:jc w:val="both"/>
        <w:rPr>
          <w:rFonts w:ascii="Times New Roman" w:hAnsi="Times New Roman" w:cs="Times New Roman"/>
          <w:sz w:val="18"/>
          <w:szCs w:val="18"/>
        </w:rPr>
      </w:pPr>
      <w:r w:rsidRPr="008064EB">
        <w:rPr>
          <w:rFonts w:ascii="Times New Roman" w:hAnsi="Times New Roman" w:cs="Times New Roman"/>
          <w:b/>
          <w:sz w:val="18"/>
          <w:szCs w:val="18"/>
        </w:rPr>
        <w:t>Fuente:</w:t>
      </w:r>
      <w:r w:rsidRPr="008064EB">
        <w:rPr>
          <w:rFonts w:ascii="Times New Roman" w:hAnsi="Times New Roman" w:cs="Times New Roman"/>
          <w:sz w:val="18"/>
          <w:szCs w:val="18"/>
        </w:rPr>
        <w:t xml:space="preserve"> Datos propios de SECAI obtenidos de supervisiones a portales electrónicos durante </w:t>
      </w:r>
      <w:r>
        <w:rPr>
          <w:rFonts w:ascii="Times New Roman" w:hAnsi="Times New Roman" w:cs="Times New Roman"/>
          <w:sz w:val="18"/>
          <w:szCs w:val="18"/>
        </w:rPr>
        <w:t>los</w:t>
      </w:r>
      <w:r w:rsidRPr="008064EB">
        <w:rPr>
          <w:rFonts w:ascii="Times New Roman" w:hAnsi="Times New Roman" w:cs="Times New Roman"/>
          <w:sz w:val="18"/>
          <w:szCs w:val="18"/>
        </w:rPr>
        <w:t xml:space="preserve"> año</w:t>
      </w:r>
      <w:r>
        <w:rPr>
          <w:rFonts w:ascii="Times New Roman" w:hAnsi="Times New Roman" w:cs="Times New Roman"/>
          <w:sz w:val="18"/>
          <w:szCs w:val="18"/>
        </w:rPr>
        <w:t>s 2019 y</w:t>
      </w:r>
      <w:r w:rsidRPr="008064EB">
        <w:rPr>
          <w:rFonts w:ascii="Times New Roman" w:hAnsi="Times New Roman" w:cs="Times New Roman"/>
          <w:sz w:val="18"/>
          <w:szCs w:val="18"/>
        </w:rPr>
        <w:t xml:space="preserve"> 2020.</w:t>
      </w:r>
    </w:p>
    <w:p w:rsidR="006A6A33" w:rsidRPr="00054D12" w:rsidRDefault="006A6A33" w:rsidP="0030326B">
      <w:pPr>
        <w:spacing w:after="0"/>
        <w:rPr>
          <w:rFonts w:ascii="Times New Roman" w:hAnsi="Times New Roman" w:cs="Times New Roman"/>
          <w:sz w:val="24"/>
          <w:szCs w:val="24"/>
        </w:rPr>
      </w:pPr>
    </w:p>
    <w:p w:rsidR="0030326B" w:rsidRPr="0032626C" w:rsidRDefault="0030326B" w:rsidP="0032626C">
      <w:pPr>
        <w:pStyle w:val="Ttulo2"/>
        <w:rPr>
          <w:rFonts w:ascii="Times New Roman" w:hAnsi="Times New Roman" w:cs="Times New Roman"/>
          <w:b/>
          <w:color w:val="auto"/>
          <w:sz w:val="24"/>
          <w:szCs w:val="24"/>
        </w:rPr>
      </w:pPr>
      <w:bookmarkStart w:id="60" w:name="_Toc60223899"/>
      <w:r w:rsidRPr="0032626C">
        <w:rPr>
          <w:rFonts w:ascii="Times New Roman" w:hAnsi="Times New Roman" w:cs="Times New Roman"/>
          <w:b/>
          <w:color w:val="auto"/>
          <w:sz w:val="24"/>
          <w:szCs w:val="24"/>
        </w:rPr>
        <w:t>Comparativo del nivel de cumplimiento de l</w:t>
      </w:r>
      <w:r w:rsidR="00040E8A" w:rsidRPr="0032626C">
        <w:rPr>
          <w:rFonts w:ascii="Times New Roman" w:hAnsi="Times New Roman" w:cs="Times New Roman"/>
          <w:b/>
          <w:color w:val="auto"/>
          <w:sz w:val="24"/>
          <w:szCs w:val="24"/>
        </w:rPr>
        <w:t xml:space="preserve">os portales electrónicos de </w:t>
      </w:r>
      <w:r w:rsidRPr="0032626C">
        <w:rPr>
          <w:rFonts w:ascii="Times New Roman" w:hAnsi="Times New Roman" w:cs="Times New Roman"/>
          <w:b/>
          <w:color w:val="auto"/>
          <w:sz w:val="24"/>
          <w:szCs w:val="24"/>
        </w:rPr>
        <w:t xml:space="preserve">otras entidades del Organismo </w:t>
      </w:r>
      <w:r w:rsidR="00040E8A" w:rsidRPr="0032626C">
        <w:rPr>
          <w:rFonts w:ascii="Times New Roman" w:hAnsi="Times New Roman" w:cs="Times New Roman"/>
          <w:b/>
          <w:color w:val="auto"/>
          <w:sz w:val="24"/>
          <w:szCs w:val="24"/>
        </w:rPr>
        <w:t>Ejecutivo en los años 2019-2020</w:t>
      </w:r>
      <w:bookmarkEnd w:id="60"/>
    </w:p>
    <w:p w:rsidR="00040E8A" w:rsidRPr="000D22C0" w:rsidRDefault="00040E8A" w:rsidP="0030326B">
      <w:pPr>
        <w:spacing w:after="0" w:line="240" w:lineRule="auto"/>
        <w:jc w:val="both"/>
        <w:rPr>
          <w:rFonts w:ascii="Times New Roman" w:hAnsi="Times New Roman" w:cs="Times New Roman"/>
          <w:sz w:val="24"/>
          <w:szCs w:val="24"/>
        </w:rPr>
      </w:pPr>
    </w:p>
    <w:tbl>
      <w:tblPr>
        <w:tblW w:w="9087" w:type="dxa"/>
        <w:tblInd w:w="55" w:type="dxa"/>
        <w:tblCellMar>
          <w:left w:w="70" w:type="dxa"/>
          <w:right w:w="70" w:type="dxa"/>
        </w:tblCellMar>
        <w:tblLook w:val="04A0" w:firstRow="1" w:lastRow="0" w:firstColumn="1" w:lastColumn="0" w:noHBand="0" w:noVBand="1"/>
      </w:tblPr>
      <w:tblGrid>
        <w:gridCol w:w="500"/>
        <w:gridCol w:w="4335"/>
        <w:gridCol w:w="1374"/>
        <w:gridCol w:w="1461"/>
        <w:gridCol w:w="1417"/>
      </w:tblGrid>
      <w:tr w:rsidR="006A6A33" w:rsidRPr="006A6A33" w:rsidTr="006A6A33">
        <w:trPr>
          <w:trHeight w:val="765"/>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No.</w:t>
            </w:r>
          </w:p>
        </w:tc>
        <w:tc>
          <w:tcPr>
            <w:tcW w:w="4335" w:type="dxa"/>
            <w:tcBorders>
              <w:top w:val="single" w:sz="4" w:space="0" w:color="auto"/>
              <w:left w:val="nil"/>
              <w:bottom w:val="single" w:sz="4" w:space="0" w:color="auto"/>
              <w:right w:val="single" w:sz="4" w:space="0" w:color="auto"/>
            </w:tcBorders>
            <w:shd w:val="clear" w:color="000000" w:fill="BFBFBF"/>
            <w:noWrap/>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Entidad</w:t>
            </w:r>
          </w:p>
        </w:tc>
        <w:tc>
          <w:tcPr>
            <w:tcW w:w="1374" w:type="dxa"/>
            <w:tcBorders>
              <w:top w:val="single" w:sz="4" w:space="0" w:color="auto"/>
              <w:left w:val="nil"/>
              <w:bottom w:val="single" w:sz="4" w:space="0" w:color="auto"/>
              <w:right w:val="single" w:sz="4" w:space="0" w:color="auto"/>
            </w:tcBorders>
            <w:shd w:val="clear" w:color="000000" w:fill="BFBFBF"/>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Nivel de Cumplimiento 2019</w:t>
            </w:r>
          </w:p>
        </w:tc>
        <w:tc>
          <w:tcPr>
            <w:tcW w:w="1461" w:type="dxa"/>
            <w:tcBorders>
              <w:top w:val="single" w:sz="4" w:space="0" w:color="auto"/>
              <w:left w:val="nil"/>
              <w:bottom w:val="single" w:sz="4" w:space="0" w:color="auto"/>
              <w:right w:val="single" w:sz="4" w:space="0" w:color="auto"/>
            </w:tcBorders>
            <w:shd w:val="clear" w:color="000000" w:fill="BFBFBF"/>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Nivel de Cumplimiento 2020</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Diferencia</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Vicepresidencia de la República de Guatemala</w:t>
            </w:r>
          </w:p>
        </w:tc>
        <w:tc>
          <w:tcPr>
            <w:tcW w:w="1374" w:type="dxa"/>
            <w:tcBorders>
              <w:top w:val="nil"/>
              <w:left w:val="nil"/>
              <w:bottom w:val="single" w:sz="4" w:space="0" w:color="auto"/>
              <w:right w:val="single" w:sz="4" w:space="0" w:color="auto"/>
            </w:tcBorders>
            <w:shd w:val="clear" w:color="000000" w:fill="00B05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98.61</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98.61</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r>
      <w:tr w:rsidR="006A6A33" w:rsidRPr="006A6A33" w:rsidTr="006A6A33">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Comisión Presidencial de Gestión Pública Abierta y Transparencia / Comisión Presidencial de Gobier</w:t>
            </w:r>
            <w:r>
              <w:rPr>
                <w:rFonts w:ascii="Times New Roman" w:eastAsia="Times New Roman" w:hAnsi="Times New Roman" w:cs="Times New Roman"/>
                <w:color w:val="000000"/>
                <w:sz w:val="20"/>
                <w:szCs w:val="20"/>
                <w:lang w:eastAsia="es-GT"/>
              </w:rPr>
              <w:t>n</w:t>
            </w:r>
            <w:r w:rsidRPr="006A6A33">
              <w:rPr>
                <w:rFonts w:ascii="Times New Roman" w:eastAsia="Times New Roman" w:hAnsi="Times New Roman" w:cs="Times New Roman"/>
                <w:color w:val="000000"/>
                <w:sz w:val="20"/>
                <w:szCs w:val="20"/>
                <w:lang w:eastAsia="es-GT"/>
              </w:rPr>
              <w:t>o Abierto y Electrónico</w:t>
            </w:r>
          </w:p>
        </w:tc>
        <w:tc>
          <w:tcPr>
            <w:tcW w:w="1374" w:type="dxa"/>
            <w:tcBorders>
              <w:top w:val="nil"/>
              <w:left w:val="nil"/>
              <w:bottom w:val="single" w:sz="4" w:space="0" w:color="auto"/>
              <w:right w:val="single" w:sz="4" w:space="0" w:color="auto"/>
            </w:tcBorders>
            <w:shd w:val="clear" w:color="000000" w:fill="00B05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86.11</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96.67</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10.56</w:t>
            </w:r>
          </w:p>
        </w:tc>
      </w:tr>
      <w:tr w:rsidR="006A6A33" w:rsidRPr="006A6A33" w:rsidTr="006A6A33">
        <w:trPr>
          <w:trHeight w:val="34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Oficina Nacional de Servicio Civil</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75.58</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95.16</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19.58</w:t>
            </w:r>
          </w:p>
        </w:tc>
      </w:tr>
      <w:tr w:rsidR="006A6A33" w:rsidRPr="006A6A33" w:rsidTr="006A6A33">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Secretaría Técnica del Consejo Nacional de Seguridad</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75.00</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94.83</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19.83</w:t>
            </w:r>
          </w:p>
        </w:tc>
      </w:tr>
      <w:tr w:rsidR="006A6A33" w:rsidRPr="006A6A33" w:rsidTr="006A6A33">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5</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Comisión Presidencial Coordinadora de la Política del Ejecutivo en Materia de Derechos Humanos -COPREDEH</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75.71</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89.06</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13.35</w:t>
            </w:r>
          </w:p>
        </w:tc>
      </w:tr>
      <w:tr w:rsidR="006A6A33" w:rsidRPr="006A6A33" w:rsidTr="006A6A33">
        <w:trPr>
          <w:trHeight w:val="312"/>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Fondo de Desarrollo Indígena Guatemalteco</w:t>
            </w:r>
          </w:p>
        </w:tc>
        <w:tc>
          <w:tcPr>
            <w:tcW w:w="1374" w:type="dxa"/>
            <w:tcBorders>
              <w:top w:val="nil"/>
              <w:left w:val="nil"/>
              <w:bottom w:val="single" w:sz="4" w:space="0" w:color="auto"/>
              <w:right w:val="single" w:sz="4" w:space="0" w:color="auto"/>
            </w:tcBorders>
            <w:shd w:val="clear" w:color="000000" w:fill="00B05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94.83</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83.78</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-11.05</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Autoridad para el Manejo sustentable de la cuenca del Lago de Atitlán y su entorno</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71.43</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82.14</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10.71</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Defensoría de la Mujer Indígena, Presidencia de la República</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77.42</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77.42</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Junta Nacional de Servicio Civil</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29.07</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75.00</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45.93</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10</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Consejo Nacional para la Juventud</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48.72</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73.44</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24.72</w:t>
            </w:r>
          </w:p>
        </w:tc>
      </w:tr>
      <w:tr w:rsidR="006A6A33" w:rsidRPr="006A6A33" w:rsidTr="006A6A33">
        <w:trPr>
          <w:trHeight w:val="51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11</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Autoridad para el Manejo Sustentable de la Cuenca y del Lago de Amatitlán</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70.93</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73.08</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2.15</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12</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Superintendencia de Telecomunicaciones</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82.43</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61.76</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-20.67</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13</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Comisión Presidencial Contra la Discriminación y el Racismo Contra los Pueblos Indígenas en Guatemala</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39.06</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60.47</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21.41</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14</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Instituto Geográfico Nacional</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44.59</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60.29</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15.70</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15</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Comisión Presidencial de Diálogo</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15.12</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51.39</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36.27</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16</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Guardia Presidencial</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15.12</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15.12</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17</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Programa Nacional de Resarcimiento</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69.12</w:t>
            </w:r>
          </w:p>
        </w:tc>
        <w:tc>
          <w:tcPr>
            <w:tcW w:w="1461"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En liquidación</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rPr>
                <w:rFonts w:ascii="Calibri" w:eastAsia="Times New Roman" w:hAnsi="Calibri" w:cs="Times New Roman"/>
                <w:color w:val="000000"/>
                <w:lang w:eastAsia="es-GT"/>
              </w:rPr>
            </w:pPr>
            <w:r w:rsidRPr="006A6A33">
              <w:rPr>
                <w:rFonts w:ascii="Calibri" w:eastAsia="Times New Roman" w:hAnsi="Calibri" w:cs="Times New Roman"/>
                <w:color w:val="000000"/>
                <w:lang w:eastAsia="es-GT"/>
              </w:rPr>
              <w:t> </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jc w:val="right"/>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PROMEDIO DEL SECTOR</w:t>
            </w:r>
          </w:p>
        </w:tc>
        <w:tc>
          <w:tcPr>
            <w:tcW w:w="1374"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57.43</w:t>
            </w:r>
          </w:p>
        </w:tc>
        <w:tc>
          <w:tcPr>
            <w:tcW w:w="1461"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74.26</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Calibri" w:eastAsia="Times New Roman" w:hAnsi="Calibri" w:cs="Times New Roman"/>
                <w:color w:val="000000"/>
                <w:lang w:eastAsia="es-GT"/>
              </w:rPr>
            </w:pPr>
          </w:p>
        </w:tc>
      </w:tr>
    </w:tbl>
    <w:p w:rsidR="00326B19" w:rsidRDefault="00326B19" w:rsidP="0030326B">
      <w:pPr>
        <w:spacing w:after="0"/>
        <w:jc w:val="both"/>
        <w:rPr>
          <w:rFonts w:ascii="Times New Roman" w:hAnsi="Times New Roman" w:cs="Times New Roman"/>
          <w:b/>
          <w:sz w:val="18"/>
          <w:szCs w:val="18"/>
        </w:rPr>
      </w:pPr>
    </w:p>
    <w:p w:rsidR="00F0123A" w:rsidRPr="008064EB" w:rsidRDefault="00F0123A" w:rsidP="00F0123A">
      <w:pPr>
        <w:spacing w:after="0"/>
        <w:jc w:val="both"/>
        <w:rPr>
          <w:rFonts w:ascii="Times New Roman" w:hAnsi="Times New Roman" w:cs="Times New Roman"/>
          <w:sz w:val="18"/>
          <w:szCs w:val="18"/>
        </w:rPr>
      </w:pPr>
      <w:r w:rsidRPr="008064EB">
        <w:rPr>
          <w:rFonts w:ascii="Times New Roman" w:hAnsi="Times New Roman" w:cs="Times New Roman"/>
          <w:b/>
          <w:sz w:val="18"/>
          <w:szCs w:val="18"/>
        </w:rPr>
        <w:t>Fuente:</w:t>
      </w:r>
      <w:r w:rsidRPr="008064EB">
        <w:rPr>
          <w:rFonts w:ascii="Times New Roman" w:hAnsi="Times New Roman" w:cs="Times New Roman"/>
          <w:sz w:val="18"/>
          <w:szCs w:val="18"/>
        </w:rPr>
        <w:t xml:space="preserve"> Datos propios de SECAI obtenidos de supervisiones a portales electrónicos durante </w:t>
      </w:r>
      <w:r>
        <w:rPr>
          <w:rFonts w:ascii="Times New Roman" w:hAnsi="Times New Roman" w:cs="Times New Roman"/>
          <w:sz w:val="18"/>
          <w:szCs w:val="18"/>
        </w:rPr>
        <w:t>los</w:t>
      </w:r>
      <w:r w:rsidRPr="008064EB">
        <w:rPr>
          <w:rFonts w:ascii="Times New Roman" w:hAnsi="Times New Roman" w:cs="Times New Roman"/>
          <w:sz w:val="18"/>
          <w:szCs w:val="18"/>
        </w:rPr>
        <w:t xml:space="preserve"> año</w:t>
      </w:r>
      <w:r>
        <w:rPr>
          <w:rFonts w:ascii="Times New Roman" w:hAnsi="Times New Roman" w:cs="Times New Roman"/>
          <w:sz w:val="18"/>
          <w:szCs w:val="18"/>
        </w:rPr>
        <w:t>s 2019 y</w:t>
      </w:r>
      <w:r w:rsidRPr="008064EB">
        <w:rPr>
          <w:rFonts w:ascii="Times New Roman" w:hAnsi="Times New Roman" w:cs="Times New Roman"/>
          <w:sz w:val="18"/>
          <w:szCs w:val="18"/>
        </w:rPr>
        <w:t xml:space="preserve"> 2020.</w:t>
      </w:r>
    </w:p>
    <w:p w:rsidR="00054D12" w:rsidRDefault="00054D12" w:rsidP="006A6A33">
      <w:pPr>
        <w:spacing w:after="0"/>
        <w:rPr>
          <w:rFonts w:ascii="Times New Roman" w:hAnsi="Times New Roman" w:cs="Times New Roman"/>
          <w:sz w:val="24"/>
          <w:szCs w:val="24"/>
        </w:rPr>
      </w:pPr>
    </w:p>
    <w:p w:rsidR="006A6A33" w:rsidRPr="00054D12" w:rsidRDefault="006A6A33" w:rsidP="006A6A33">
      <w:pPr>
        <w:spacing w:after="0"/>
        <w:rPr>
          <w:rFonts w:ascii="Times New Roman" w:hAnsi="Times New Roman" w:cs="Times New Roman"/>
          <w:sz w:val="24"/>
          <w:szCs w:val="24"/>
        </w:rPr>
      </w:pPr>
    </w:p>
    <w:p w:rsidR="0030326B" w:rsidRPr="0032626C" w:rsidRDefault="0030326B" w:rsidP="0032626C">
      <w:pPr>
        <w:pStyle w:val="Ttulo2"/>
        <w:rPr>
          <w:rFonts w:ascii="Times New Roman" w:hAnsi="Times New Roman" w:cs="Times New Roman"/>
          <w:b/>
          <w:color w:val="auto"/>
          <w:sz w:val="24"/>
          <w:szCs w:val="24"/>
        </w:rPr>
      </w:pPr>
      <w:bookmarkStart w:id="61" w:name="_Toc60223900"/>
      <w:r w:rsidRPr="0032626C">
        <w:rPr>
          <w:rFonts w:ascii="Times New Roman" w:hAnsi="Times New Roman" w:cs="Times New Roman"/>
          <w:b/>
          <w:color w:val="auto"/>
          <w:sz w:val="24"/>
          <w:szCs w:val="24"/>
        </w:rPr>
        <w:t>Comparativo del nivel de cumplimiento de los portales electrónicos de las gobernaciones depart</w:t>
      </w:r>
      <w:r w:rsidR="00326B19" w:rsidRPr="0032626C">
        <w:rPr>
          <w:rFonts w:ascii="Times New Roman" w:hAnsi="Times New Roman" w:cs="Times New Roman"/>
          <w:b/>
          <w:color w:val="auto"/>
          <w:sz w:val="24"/>
          <w:szCs w:val="24"/>
        </w:rPr>
        <w:t>amentales en los años 2019-2020</w:t>
      </w:r>
      <w:bookmarkEnd w:id="61"/>
    </w:p>
    <w:p w:rsidR="00326B19" w:rsidRPr="000D22C0" w:rsidRDefault="00326B19" w:rsidP="0030326B">
      <w:pPr>
        <w:spacing w:after="0" w:line="240" w:lineRule="auto"/>
        <w:jc w:val="both"/>
        <w:rPr>
          <w:rFonts w:ascii="Times New Roman" w:hAnsi="Times New Roman" w:cs="Times New Roman"/>
          <w:sz w:val="24"/>
          <w:szCs w:val="24"/>
        </w:rPr>
      </w:pPr>
    </w:p>
    <w:tbl>
      <w:tblPr>
        <w:tblW w:w="9087" w:type="dxa"/>
        <w:tblInd w:w="55" w:type="dxa"/>
        <w:tblCellMar>
          <w:left w:w="70" w:type="dxa"/>
          <w:right w:w="70" w:type="dxa"/>
        </w:tblCellMar>
        <w:tblLook w:val="04A0" w:firstRow="1" w:lastRow="0" w:firstColumn="1" w:lastColumn="0" w:noHBand="0" w:noVBand="1"/>
      </w:tblPr>
      <w:tblGrid>
        <w:gridCol w:w="500"/>
        <w:gridCol w:w="4335"/>
        <w:gridCol w:w="1374"/>
        <w:gridCol w:w="1461"/>
        <w:gridCol w:w="1417"/>
      </w:tblGrid>
      <w:tr w:rsidR="006A6A33" w:rsidRPr="006A6A33" w:rsidTr="00326B19">
        <w:trPr>
          <w:trHeight w:val="765"/>
          <w:tblHeader/>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No.</w:t>
            </w:r>
          </w:p>
        </w:tc>
        <w:tc>
          <w:tcPr>
            <w:tcW w:w="4335" w:type="dxa"/>
            <w:tcBorders>
              <w:top w:val="single" w:sz="4" w:space="0" w:color="auto"/>
              <w:left w:val="nil"/>
              <w:bottom w:val="single" w:sz="4" w:space="0" w:color="auto"/>
              <w:right w:val="single" w:sz="4" w:space="0" w:color="auto"/>
            </w:tcBorders>
            <w:shd w:val="clear" w:color="000000" w:fill="BFBFBF"/>
            <w:noWrap/>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Entidad</w:t>
            </w:r>
          </w:p>
        </w:tc>
        <w:tc>
          <w:tcPr>
            <w:tcW w:w="1374" w:type="dxa"/>
            <w:tcBorders>
              <w:top w:val="single" w:sz="4" w:space="0" w:color="auto"/>
              <w:left w:val="nil"/>
              <w:bottom w:val="single" w:sz="4" w:space="0" w:color="auto"/>
              <w:right w:val="single" w:sz="4" w:space="0" w:color="auto"/>
            </w:tcBorders>
            <w:shd w:val="clear" w:color="000000" w:fill="BFBFBF"/>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Nivel de Cumplimiento 2019</w:t>
            </w:r>
          </w:p>
        </w:tc>
        <w:tc>
          <w:tcPr>
            <w:tcW w:w="1461" w:type="dxa"/>
            <w:tcBorders>
              <w:top w:val="single" w:sz="4" w:space="0" w:color="auto"/>
              <w:left w:val="nil"/>
              <w:bottom w:val="single" w:sz="4" w:space="0" w:color="auto"/>
              <w:right w:val="single" w:sz="4" w:space="0" w:color="auto"/>
            </w:tcBorders>
            <w:shd w:val="clear" w:color="000000" w:fill="BFBFBF"/>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Nivel de Cumplimiento 2020</w:t>
            </w:r>
          </w:p>
        </w:tc>
        <w:tc>
          <w:tcPr>
            <w:tcW w:w="1417" w:type="dxa"/>
            <w:tcBorders>
              <w:top w:val="single" w:sz="4" w:space="0" w:color="auto"/>
              <w:left w:val="nil"/>
              <w:bottom w:val="single" w:sz="4" w:space="0" w:color="auto"/>
              <w:right w:val="single" w:sz="4" w:space="0" w:color="auto"/>
            </w:tcBorders>
            <w:shd w:val="clear" w:color="000000" w:fill="BFBFBF"/>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Diferencia</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Baja Verapaz</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64.06</w:t>
            </w:r>
          </w:p>
        </w:tc>
        <w:tc>
          <w:tcPr>
            <w:tcW w:w="1461"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97.22</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33.16</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Chiquimula</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79.03</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81.08</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2.05</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Zacapa</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34.88</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74.24</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39.36</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lastRenderedPageBreak/>
              <w:t>4</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Quetzaltenango</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60.71</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72.73</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12.02</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5</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San Marcos</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25.58</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72.58</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47.00</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Jalapa</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35.90</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70.97</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35.07</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7</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Totonicapán</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31.40</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69.70</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38.30</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Izabal</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43.02</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68.75</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25.73</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Huehuetenango</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48.75</w:t>
            </w:r>
          </w:p>
        </w:tc>
        <w:tc>
          <w:tcPr>
            <w:tcW w:w="1461"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61.43</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12.68</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10</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Sololá</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18.60</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58.62</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40.02</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11</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Escuintla</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33.72</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51.79</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18.07</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12</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Chimaltenango</w:t>
            </w:r>
          </w:p>
        </w:tc>
        <w:tc>
          <w:tcPr>
            <w:tcW w:w="1374" w:type="dxa"/>
            <w:tcBorders>
              <w:top w:val="nil"/>
              <w:left w:val="nil"/>
              <w:bottom w:val="single" w:sz="4" w:space="0" w:color="auto"/>
              <w:right w:val="single" w:sz="4" w:space="0" w:color="auto"/>
            </w:tcBorders>
            <w:shd w:val="clear" w:color="000000" w:fill="FFFF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66.67</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51.25</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-15.42</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13</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Peten</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40.48</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48.75</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8.27</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14</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Suchitepéquez</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11.63</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46.77</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35.14</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15</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Alta Verapaz</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22.09</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45.59</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23.50</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16</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Guatemala</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42.42</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45.45</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3.03</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17</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Retalhuleu</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18.60</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44.74</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26.14</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18</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Santa Rosa</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6.98</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13.95</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6.97</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19</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El Progreso</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10.47</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12.79</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2.32</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20</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Quiche</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9.30</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9.52</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0.22</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21</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Jutiapa</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22</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Gobernación Departamental de Sacatepéquez</w:t>
            </w:r>
          </w:p>
        </w:tc>
        <w:tc>
          <w:tcPr>
            <w:tcW w:w="1374" w:type="dxa"/>
            <w:tcBorders>
              <w:top w:val="nil"/>
              <w:left w:val="nil"/>
              <w:bottom w:val="single" w:sz="4" w:space="0" w:color="auto"/>
              <w:right w:val="single" w:sz="4" w:space="0" w:color="auto"/>
            </w:tcBorders>
            <w:shd w:val="clear" w:color="000000" w:fill="FF0000"/>
            <w:noWrap/>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c>
          <w:tcPr>
            <w:tcW w:w="146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c>
          <w:tcPr>
            <w:tcW w:w="1417" w:type="dxa"/>
            <w:tcBorders>
              <w:top w:val="nil"/>
              <w:left w:val="nil"/>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0.00</w:t>
            </w:r>
          </w:p>
        </w:tc>
      </w:tr>
      <w:tr w:rsidR="006A6A33" w:rsidRPr="006A6A33" w:rsidTr="006A6A33">
        <w:trPr>
          <w:trHeight w:val="3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6A6A33" w:rsidRPr="006A6A33" w:rsidRDefault="006A6A33" w:rsidP="006A6A33">
            <w:pPr>
              <w:spacing w:after="0" w:line="240" w:lineRule="auto"/>
              <w:rPr>
                <w:rFonts w:ascii="Calibri" w:eastAsia="Times New Roman" w:hAnsi="Calibri" w:cs="Times New Roman"/>
                <w:color w:val="000000"/>
                <w:lang w:eastAsia="es-GT"/>
              </w:rPr>
            </w:pPr>
            <w:r w:rsidRPr="006A6A33">
              <w:rPr>
                <w:rFonts w:ascii="Calibri" w:eastAsia="Times New Roman" w:hAnsi="Calibri" w:cs="Times New Roman"/>
                <w:color w:val="000000"/>
                <w:lang w:eastAsia="es-GT"/>
              </w:rPr>
              <w:t> </w:t>
            </w:r>
          </w:p>
        </w:tc>
        <w:tc>
          <w:tcPr>
            <w:tcW w:w="4335"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jc w:val="right"/>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PROMEDIO DEL SECTOR</w:t>
            </w:r>
          </w:p>
        </w:tc>
        <w:tc>
          <w:tcPr>
            <w:tcW w:w="1374"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32.01</w:t>
            </w:r>
          </w:p>
        </w:tc>
        <w:tc>
          <w:tcPr>
            <w:tcW w:w="1461" w:type="dxa"/>
            <w:tcBorders>
              <w:top w:val="nil"/>
              <w:left w:val="nil"/>
              <w:bottom w:val="single" w:sz="4" w:space="0" w:color="auto"/>
              <w:right w:val="single" w:sz="4" w:space="0" w:color="auto"/>
            </w:tcBorders>
            <w:shd w:val="clear" w:color="auto" w:fill="auto"/>
            <w:vAlign w:val="center"/>
            <w:hideMark/>
          </w:tcPr>
          <w:p w:rsidR="006A6A33" w:rsidRPr="006A6A33" w:rsidRDefault="006A6A33" w:rsidP="006A6A33">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49.91</w:t>
            </w:r>
          </w:p>
        </w:tc>
        <w:tc>
          <w:tcPr>
            <w:tcW w:w="1417" w:type="dxa"/>
            <w:tcBorders>
              <w:top w:val="nil"/>
              <w:left w:val="nil"/>
              <w:bottom w:val="single" w:sz="4" w:space="0" w:color="auto"/>
              <w:right w:val="single" w:sz="4" w:space="0" w:color="auto"/>
            </w:tcBorders>
            <w:shd w:val="clear" w:color="auto" w:fill="auto"/>
            <w:noWrap/>
            <w:vAlign w:val="center"/>
            <w:hideMark/>
          </w:tcPr>
          <w:p w:rsidR="006A6A33" w:rsidRPr="006A6A33" w:rsidRDefault="006A6A33" w:rsidP="006A6A33">
            <w:pPr>
              <w:spacing w:after="0" w:line="240" w:lineRule="auto"/>
              <w:rPr>
                <w:rFonts w:ascii="Calibri" w:eastAsia="Times New Roman" w:hAnsi="Calibri" w:cs="Times New Roman"/>
                <w:color w:val="000000"/>
                <w:lang w:eastAsia="es-GT"/>
              </w:rPr>
            </w:pPr>
            <w:r w:rsidRPr="006A6A33">
              <w:rPr>
                <w:rFonts w:ascii="Calibri" w:eastAsia="Times New Roman" w:hAnsi="Calibri" w:cs="Times New Roman"/>
                <w:color w:val="000000"/>
                <w:lang w:eastAsia="es-GT"/>
              </w:rPr>
              <w:t> </w:t>
            </w:r>
          </w:p>
        </w:tc>
      </w:tr>
    </w:tbl>
    <w:p w:rsidR="00326B19" w:rsidRDefault="00326B19" w:rsidP="0030326B">
      <w:pPr>
        <w:spacing w:after="0"/>
        <w:jc w:val="both"/>
        <w:rPr>
          <w:rFonts w:ascii="Times New Roman" w:hAnsi="Times New Roman" w:cs="Times New Roman"/>
          <w:b/>
          <w:sz w:val="18"/>
          <w:szCs w:val="18"/>
        </w:rPr>
      </w:pPr>
    </w:p>
    <w:p w:rsidR="00F0123A" w:rsidRPr="008064EB" w:rsidRDefault="00F0123A" w:rsidP="00F0123A">
      <w:pPr>
        <w:spacing w:after="0"/>
        <w:jc w:val="both"/>
        <w:rPr>
          <w:rFonts w:ascii="Times New Roman" w:hAnsi="Times New Roman" w:cs="Times New Roman"/>
          <w:sz w:val="18"/>
          <w:szCs w:val="18"/>
        </w:rPr>
      </w:pPr>
      <w:r w:rsidRPr="008064EB">
        <w:rPr>
          <w:rFonts w:ascii="Times New Roman" w:hAnsi="Times New Roman" w:cs="Times New Roman"/>
          <w:b/>
          <w:sz w:val="18"/>
          <w:szCs w:val="18"/>
        </w:rPr>
        <w:t>Fuente:</w:t>
      </w:r>
      <w:r w:rsidRPr="008064EB">
        <w:rPr>
          <w:rFonts w:ascii="Times New Roman" w:hAnsi="Times New Roman" w:cs="Times New Roman"/>
          <w:sz w:val="18"/>
          <w:szCs w:val="18"/>
        </w:rPr>
        <w:t xml:space="preserve"> Datos propios de SECAI obtenidos de supervisiones a portales electrónicos durante </w:t>
      </w:r>
      <w:r>
        <w:rPr>
          <w:rFonts w:ascii="Times New Roman" w:hAnsi="Times New Roman" w:cs="Times New Roman"/>
          <w:sz w:val="18"/>
          <w:szCs w:val="18"/>
        </w:rPr>
        <w:t>los</w:t>
      </w:r>
      <w:r w:rsidRPr="008064EB">
        <w:rPr>
          <w:rFonts w:ascii="Times New Roman" w:hAnsi="Times New Roman" w:cs="Times New Roman"/>
          <w:sz w:val="18"/>
          <w:szCs w:val="18"/>
        </w:rPr>
        <w:t xml:space="preserve"> año</w:t>
      </w:r>
      <w:r>
        <w:rPr>
          <w:rFonts w:ascii="Times New Roman" w:hAnsi="Times New Roman" w:cs="Times New Roman"/>
          <w:sz w:val="18"/>
          <w:szCs w:val="18"/>
        </w:rPr>
        <w:t>s 2019 y</w:t>
      </w:r>
      <w:r w:rsidRPr="008064EB">
        <w:rPr>
          <w:rFonts w:ascii="Times New Roman" w:hAnsi="Times New Roman" w:cs="Times New Roman"/>
          <w:sz w:val="18"/>
          <w:szCs w:val="18"/>
        </w:rPr>
        <w:t xml:space="preserve"> 2020.</w:t>
      </w:r>
    </w:p>
    <w:p w:rsidR="00A57497" w:rsidRPr="00452A2C" w:rsidRDefault="00A57497" w:rsidP="00452A2C">
      <w:pPr>
        <w:pStyle w:val="Ttulo2"/>
        <w:spacing w:before="0"/>
        <w:rPr>
          <w:rFonts w:ascii="Times New Roman" w:hAnsi="Times New Roman" w:cs="Times New Roman"/>
          <w:sz w:val="24"/>
          <w:szCs w:val="24"/>
        </w:rPr>
      </w:pPr>
    </w:p>
    <w:p w:rsidR="00A57497" w:rsidRPr="00452A2C" w:rsidRDefault="00A57497" w:rsidP="00452A2C">
      <w:pPr>
        <w:pStyle w:val="Ttulo2"/>
        <w:spacing w:before="0"/>
        <w:rPr>
          <w:rFonts w:ascii="Times New Roman" w:hAnsi="Times New Roman" w:cs="Times New Roman"/>
          <w:sz w:val="24"/>
          <w:szCs w:val="24"/>
        </w:rPr>
      </w:pPr>
    </w:p>
    <w:p w:rsidR="00A57497" w:rsidRPr="0032626C" w:rsidRDefault="00054D12" w:rsidP="0032626C">
      <w:pPr>
        <w:pStyle w:val="Ttulo2"/>
        <w:rPr>
          <w:rFonts w:ascii="Times New Roman" w:hAnsi="Times New Roman" w:cs="Times New Roman"/>
          <w:b/>
          <w:color w:val="auto"/>
          <w:sz w:val="24"/>
          <w:szCs w:val="24"/>
        </w:rPr>
      </w:pPr>
      <w:bookmarkStart w:id="62" w:name="_Toc60223901"/>
      <w:r w:rsidRPr="0032626C">
        <w:rPr>
          <w:rFonts w:ascii="Times New Roman" w:hAnsi="Times New Roman" w:cs="Times New Roman"/>
          <w:b/>
          <w:color w:val="auto"/>
          <w:sz w:val="24"/>
          <w:szCs w:val="24"/>
        </w:rPr>
        <w:t>Organismo Judicial</w:t>
      </w:r>
      <w:bookmarkEnd w:id="62"/>
    </w:p>
    <w:p w:rsidR="00452A2C" w:rsidRDefault="00452A2C" w:rsidP="00452A2C">
      <w:pPr>
        <w:spacing w:after="0"/>
        <w:jc w:val="both"/>
        <w:rPr>
          <w:rFonts w:ascii="Times New Roman" w:hAnsi="Times New Roman" w:cs="Times New Roman"/>
          <w:sz w:val="24"/>
          <w:szCs w:val="24"/>
        </w:rPr>
      </w:pPr>
    </w:p>
    <w:p w:rsidR="00452A2C" w:rsidRPr="00452A2C" w:rsidRDefault="00452A2C" w:rsidP="00452A2C">
      <w:pPr>
        <w:spacing w:after="0"/>
        <w:jc w:val="both"/>
        <w:rPr>
          <w:rFonts w:ascii="Times New Roman" w:hAnsi="Times New Roman" w:cs="Times New Roman"/>
          <w:sz w:val="24"/>
          <w:szCs w:val="24"/>
        </w:rPr>
      </w:pPr>
      <w:r w:rsidRPr="00452A2C">
        <w:rPr>
          <w:rFonts w:ascii="Times New Roman" w:hAnsi="Times New Roman" w:cs="Times New Roman"/>
          <w:sz w:val="24"/>
          <w:szCs w:val="24"/>
        </w:rPr>
        <w:t>El Organismo Judicial cuenta con un portal electrónico en el cual se publica la información pública de oficio que establece la Ley de Acceso a la Información Pública en los artículos 10 y 12; en el año 2020 se realizó una supervisión a esta entidad en la fecha 21 de abril obteniendo un nivel de cumplimiento de 83.33%.</w:t>
      </w:r>
    </w:p>
    <w:p w:rsidR="00A57497" w:rsidRDefault="00A57497" w:rsidP="00452A2C">
      <w:pPr>
        <w:spacing w:after="0"/>
        <w:rPr>
          <w:rFonts w:ascii="Times New Roman" w:eastAsiaTheme="majorEastAsia" w:hAnsi="Times New Roman" w:cs="Times New Roman"/>
          <w:color w:val="2E74B5" w:themeColor="accent1" w:themeShade="BF"/>
          <w:sz w:val="24"/>
          <w:szCs w:val="24"/>
        </w:rPr>
      </w:pPr>
    </w:p>
    <w:p w:rsidR="00452A2C" w:rsidRPr="00054D12" w:rsidRDefault="00452A2C" w:rsidP="00452A2C">
      <w:pPr>
        <w:spacing w:after="0"/>
        <w:rPr>
          <w:rFonts w:ascii="Times New Roman" w:eastAsiaTheme="majorEastAsia" w:hAnsi="Times New Roman" w:cs="Times New Roman"/>
          <w:color w:val="2E74B5" w:themeColor="accent1" w:themeShade="BF"/>
          <w:sz w:val="24"/>
          <w:szCs w:val="24"/>
        </w:rPr>
      </w:pPr>
    </w:p>
    <w:p w:rsidR="00A57497" w:rsidRPr="0032626C" w:rsidRDefault="00A57497" w:rsidP="0032626C">
      <w:pPr>
        <w:pStyle w:val="Ttulo2"/>
        <w:rPr>
          <w:rFonts w:ascii="Times New Roman" w:hAnsi="Times New Roman" w:cs="Times New Roman"/>
          <w:b/>
          <w:color w:val="auto"/>
          <w:sz w:val="24"/>
          <w:szCs w:val="24"/>
        </w:rPr>
      </w:pPr>
      <w:bookmarkStart w:id="63" w:name="_Toc60223902"/>
      <w:r w:rsidRPr="0032626C">
        <w:rPr>
          <w:rFonts w:ascii="Times New Roman" w:hAnsi="Times New Roman" w:cs="Times New Roman"/>
          <w:b/>
          <w:color w:val="auto"/>
          <w:sz w:val="24"/>
          <w:szCs w:val="24"/>
        </w:rPr>
        <w:t>Org</w:t>
      </w:r>
      <w:r w:rsidR="00054D12" w:rsidRPr="0032626C">
        <w:rPr>
          <w:rFonts w:ascii="Times New Roman" w:hAnsi="Times New Roman" w:cs="Times New Roman"/>
          <w:b/>
          <w:color w:val="auto"/>
          <w:sz w:val="24"/>
          <w:szCs w:val="24"/>
        </w:rPr>
        <w:t>anismo Legislativo</w:t>
      </w:r>
      <w:bookmarkEnd w:id="63"/>
    </w:p>
    <w:p w:rsidR="00452A2C" w:rsidRDefault="00452A2C" w:rsidP="00452A2C">
      <w:pPr>
        <w:spacing w:after="0"/>
        <w:jc w:val="both"/>
        <w:rPr>
          <w:rFonts w:ascii="Times New Roman" w:hAnsi="Times New Roman" w:cs="Times New Roman"/>
          <w:sz w:val="24"/>
          <w:szCs w:val="24"/>
        </w:rPr>
      </w:pPr>
    </w:p>
    <w:p w:rsidR="00452A2C" w:rsidRPr="00452A2C" w:rsidRDefault="00452A2C" w:rsidP="00452A2C">
      <w:pPr>
        <w:spacing w:after="0"/>
        <w:jc w:val="both"/>
        <w:rPr>
          <w:rFonts w:ascii="Times New Roman" w:hAnsi="Times New Roman" w:cs="Times New Roman"/>
          <w:sz w:val="24"/>
          <w:szCs w:val="24"/>
        </w:rPr>
      </w:pPr>
      <w:r w:rsidRPr="00452A2C">
        <w:rPr>
          <w:rFonts w:ascii="Times New Roman" w:hAnsi="Times New Roman" w:cs="Times New Roman"/>
          <w:sz w:val="24"/>
          <w:szCs w:val="24"/>
        </w:rPr>
        <w:t>El Organismo Legislativo representado por el Congreso de la República de Guatemala solo cuenta con un portal electrónico en el cual se publica la información pública de oficio que establece la Ley de Acceso a la Información Pública en los artículos 10 y 13.</w:t>
      </w:r>
    </w:p>
    <w:p w:rsidR="00452A2C" w:rsidRPr="00452A2C" w:rsidRDefault="00452A2C" w:rsidP="00452A2C">
      <w:pPr>
        <w:spacing w:after="0"/>
        <w:jc w:val="both"/>
        <w:rPr>
          <w:rFonts w:ascii="Times New Roman" w:hAnsi="Times New Roman" w:cs="Times New Roman"/>
          <w:sz w:val="24"/>
          <w:szCs w:val="24"/>
        </w:rPr>
      </w:pPr>
    </w:p>
    <w:p w:rsidR="00A57497" w:rsidRDefault="00452A2C" w:rsidP="00452A2C">
      <w:pPr>
        <w:spacing w:after="0"/>
        <w:jc w:val="both"/>
        <w:rPr>
          <w:rFonts w:ascii="Times New Roman" w:hAnsi="Times New Roman" w:cs="Times New Roman"/>
          <w:sz w:val="24"/>
          <w:szCs w:val="24"/>
        </w:rPr>
      </w:pPr>
      <w:r w:rsidRPr="00452A2C">
        <w:rPr>
          <w:rFonts w:ascii="Times New Roman" w:hAnsi="Times New Roman" w:cs="Times New Roman"/>
          <w:sz w:val="24"/>
          <w:szCs w:val="24"/>
        </w:rPr>
        <w:t xml:space="preserve">En el año 2020 se realizaron tres supervisiones a esta entidad, la primera en la fecha 16 de abril obteniendo un nivel de cumplimiento de 84.52%, la segunda en la fecha 04 de junio obteniendo un nivel de cumplimiento de 70.93%, razón por la cual se hicieron acercamientos con personal </w:t>
      </w:r>
      <w:r w:rsidRPr="00452A2C">
        <w:rPr>
          <w:rFonts w:ascii="Times New Roman" w:hAnsi="Times New Roman" w:cs="Times New Roman"/>
          <w:sz w:val="24"/>
          <w:szCs w:val="24"/>
        </w:rPr>
        <w:lastRenderedPageBreak/>
        <w:t>responsable de la entidad de lo cual en la tercera supervisión realizada en la fecha 17 de noviembre se obtuvo un nivel de cumplimiento de 94.05%.</w:t>
      </w:r>
    </w:p>
    <w:p w:rsidR="00326B19" w:rsidRDefault="00326B19" w:rsidP="00452A2C">
      <w:pPr>
        <w:spacing w:after="0"/>
        <w:jc w:val="both"/>
        <w:rPr>
          <w:rFonts w:ascii="Times New Roman" w:hAnsi="Times New Roman" w:cs="Times New Roman"/>
          <w:sz w:val="24"/>
          <w:szCs w:val="24"/>
        </w:rPr>
      </w:pPr>
    </w:p>
    <w:p w:rsidR="00326B19" w:rsidRPr="00326B19" w:rsidRDefault="00326B19" w:rsidP="00326B19">
      <w:pPr>
        <w:spacing w:after="0" w:line="240" w:lineRule="auto"/>
        <w:jc w:val="both"/>
        <w:rPr>
          <w:rFonts w:ascii="Times New Roman" w:hAnsi="Times New Roman" w:cs="Times New Roman"/>
          <w:b/>
          <w:sz w:val="24"/>
          <w:szCs w:val="24"/>
        </w:rPr>
      </w:pPr>
      <w:r w:rsidRPr="00326B19">
        <w:rPr>
          <w:rFonts w:ascii="Times New Roman" w:hAnsi="Times New Roman" w:cs="Times New Roman"/>
          <w:b/>
          <w:sz w:val="24"/>
          <w:szCs w:val="24"/>
        </w:rPr>
        <w:t>Comparativo del nivel de cumplimiento de</w:t>
      </w:r>
      <w:r>
        <w:rPr>
          <w:rFonts w:ascii="Times New Roman" w:hAnsi="Times New Roman" w:cs="Times New Roman"/>
          <w:b/>
          <w:sz w:val="24"/>
          <w:szCs w:val="24"/>
        </w:rPr>
        <w:t xml:space="preserve">l portal electrónico del Congreso de la República año </w:t>
      </w:r>
      <w:r w:rsidRPr="00326B19">
        <w:rPr>
          <w:rFonts w:ascii="Times New Roman" w:hAnsi="Times New Roman" w:cs="Times New Roman"/>
          <w:b/>
          <w:sz w:val="24"/>
          <w:szCs w:val="24"/>
        </w:rPr>
        <w:t>2020</w:t>
      </w:r>
    </w:p>
    <w:p w:rsidR="00326B19" w:rsidRDefault="00326B19" w:rsidP="00452A2C">
      <w:pPr>
        <w:spacing w:after="0"/>
        <w:jc w:val="both"/>
        <w:rPr>
          <w:rFonts w:ascii="Times New Roman" w:hAnsi="Times New Roman" w:cs="Times New Roman"/>
          <w:sz w:val="24"/>
          <w:szCs w:val="24"/>
        </w:rPr>
      </w:pPr>
    </w:p>
    <w:p w:rsidR="00326B19" w:rsidRDefault="00326B19" w:rsidP="00452A2C">
      <w:pPr>
        <w:spacing w:after="0"/>
        <w:jc w:val="both"/>
        <w:rPr>
          <w:rFonts w:ascii="Times New Roman" w:hAnsi="Times New Roman" w:cs="Times New Roman"/>
          <w:sz w:val="24"/>
          <w:szCs w:val="24"/>
        </w:rPr>
      </w:pPr>
    </w:p>
    <w:tbl>
      <w:tblPr>
        <w:tblW w:w="8871" w:type="dxa"/>
        <w:tblInd w:w="55" w:type="dxa"/>
        <w:tblCellMar>
          <w:left w:w="70" w:type="dxa"/>
          <w:right w:w="70" w:type="dxa"/>
        </w:tblCellMar>
        <w:tblLook w:val="04A0" w:firstRow="1" w:lastRow="0" w:firstColumn="1" w:lastColumn="0" w:noHBand="0" w:noVBand="1"/>
      </w:tblPr>
      <w:tblGrid>
        <w:gridCol w:w="500"/>
        <w:gridCol w:w="4335"/>
        <w:gridCol w:w="1909"/>
        <w:gridCol w:w="2127"/>
      </w:tblGrid>
      <w:tr w:rsidR="00326B19" w:rsidRPr="006A6A33" w:rsidTr="00326B19">
        <w:trPr>
          <w:trHeight w:val="765"/>
          <w:tblHeader/>
        </w:trPr>
        <w:tc>
          <w:tcPr>
            <w:tcW w:w="5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26B19" w:rsidRPr="006A6A33" w:rsidRDefault="00326B19" w:rsidP="00977447">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No.</w:t>
            </w:r>
          </w:p>
        </w:tc>
        <w:tc>
          <w:tcPr>
            <w:tcW w:w="4335" w:type="dxa"/>
            <w:tcBorders>
              <w:top w:val="single" w:sz="4" w:space="0" w:color="auto"/>
              <w:left w:val="nil"/>
              <w:bottom w:val="single" w:sz="4" w:space="0" w:color="auto"/>
              <w:right w:val="single" w:sz="4" w:space="0" w:color="auto"/>
            </w:tcBorders>
            <w:shd w:val="clear" w:color="000000" w:fill="BFBFBF"/>
            <w:noWrap/>
            <w:vAlign w:val="center"/>
            <w:hideMark/>
          </w:tcPr>
          <w:p w:rsidR="00326B19" w:rsidRPr="006A6A33" w:rsidRDefault="00326B19" w:rsidP="00977447">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Entidad</w:t>
            </w:r>
          </w:p>
        </w:tc>
        <w:tc>
          <w:tcPr>
            <w:tcW w:w="1909" w:type="dxa"/>
            <w:tcBorders>
              <w:top w:val="single" w:sz="4" w:space="0" w:color="auto"/>
              <w:left w:val="nil"/>
              <w:bottom w:val="single" w:sz="4" w:space="0" w:color="auto"/>
              <w:right w:val="single" w:sz="4" w:space="0" w:color="auto"/>
            </w:tcBorders>
            <w:shd w:val="clear" w:color="000000" w:fill="BFBFBF"/>
            <w:vAlign w:val="center"/>
            <w:hideMark/>
          </w:tcPr>
          <w:p w:rsidR="00326B19" w:rsidRPr="006A6A33" w:rsidRDefault="00326B19" w:rsidP="00977447">
            <w:pPr>
              <w:spacing w:after="0" w:line="240" w:lineRule="auto"/>
              <w:jc w:val="center"/>
              <w:rPr>
                <w:rFonts w:ascii="Times New Roman" w:eastAsia="Times New Roman" w:hAnsi="Times New Roman" w:cs="Times New Roman"/>
                <w:b/>
                <w:bCs/>
                <w:color w:val="000000"/>
                <w:sz w:val="20"/>
                <w:szCs w:val="20"/>
                <w:lang w:eastAsia="es-GT"/>
              </w:rPr>
            </w:pPr>
            <w:r>
              <w:rPr>
                <w:rFonts w:ascii="Times New Roman" w:eastAsia="Times New Roman" w:hAnsi="Times New Roman" w:cs="Times New Roman"/>
                <w:b/>
                <w:bCs/>
                <w:color w:val="000000"/>
                <w:sz w:val="20"/>
                <w:szCs w:val="20"/>
                <w:lang w:eastAsia="es-GT"/>
              </w:rPr>
              <w:t>Fecha de supervisión</w:t>
            </w:r>
          </w:p>
        </w:tc>
        <w:tc>
          <w:tcPr>
            <w:tcW w:w="2127" w:type="dxa"/>
            <w:tcBorders>
              <w:top w:val="single" w:sz="4" w:space="0" w:color="auto"/>
              <w:left w:val="nil"/>
              <w:bottom w:val="single" w:sz="4" w:space="0" w:color="auto"/>
              <w:right w:val="single" w:sz="4" w:space="0" w:color="auto"/>
            </w:tcBorders>
            <w:shd w:val="clear" w:color="000000" w:fill="BFBFBF"/>
            <w:vAlign w:val="center"/>
            <w:hideMark/>
          </w:tcPr>
          <w:p w:rsidR="00326B19" w:rsidRPr="006A6A33" w:rsidRDefault="00326B19" w:rsidP="00977447">
            <w:pPr>
              <w:spacing w:after="0" w:line="240" w:lineRule="auto"/>
              <w:jc w:val="center"/>
              <w:rPr>
                <w:rFonts w:ascii="Times New Roman" w:eastAsia="Times New Roman" w:hAnsi="Times New Roman" w:cs="Times New Roman"/>
                <w:b/>
                <w:bCs/>
                <w:color w:val="000000"/>
                <w:sz w:val="20"/>
                <w:szCs w:val="20"/>
                <w:lang w:eastAsia="es-GT"/>
              </w:rPr>
            </w:pPr>
            <w:r w:rsidRPr="006A6A33">
              <w:rPr>
                <w:rFonts w:ascii="Times New Roman" w:eastAsia="Times New Roman" w:hAnsi="Times New Roman" w:cs="Times New Roman"/>
                <w:b/>
                <w:bCs/>
                <w:color w:val="000000"/>
                <w:sz w:val="20"/>
                <w:szCs w:val="20"/>
                <w:lang w:eastAsia="es-GT"/>
              </w:rPr>
              <w:t>Nivel de Cumplimiento 2020</w:t>
            </w:r>
          </w:p>
        </w:tc>
      </w:tr>
      <w:tr w:rsidR="00326B19" w:rsidRPr="006A6A33" w:rsidTr="002248C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26B19" w:rsidRPr="006A6A33" w:rsidRDefault="00326B19" w:rsidP="00977447">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1</w:t>
            </w:r>
          </w:p>
        </w:tc>
        <w:tc>
          <w:tcPr>
            <w:tcW w:w="4335" w:type="dxa"/>
            <w:tcBorders>
              <w:top w:val="nil"/>
              <w:left w:val="nil"/>
              <w:bottom w:val="single" w:sz="4" w:space="0" w:color="auto"/>
              <w:right w:val="single" w:sz="4" w:space="0" w:color="auto"/>
            </w:tcBorders>
            <w:shd w:val="clear" w:color="auto" w:fill="auto"/>
            <w:vAlign w:val="center"/>
          </w:tcPr>
          <w:p w:rsidR="00326B19" w:rsidRPr="006A6A33" w:rsidRDefault="00326B19" w:rsidP="00977447">
            <w:pPr>
              <w:spacing w:after="0" w:line="240" w:lineRule="auto"/>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Congreso de la República de Guatemala</w:t>
            </w:r>
          </w:p>
        </w:tc>
        <w:tc>
          <w:tcPr>
            <w:tcW w:w="1909" w:type="dxa"/>
            <w:tcBorders>
              <w:top w:val="nil"/>
              <w:left w:val="nil"/>
              <w:bottom w:val="single" w:sz="4" w:space="0" w:color="auto"/>
              <w:right w:val="single" w:sz="4" w:space="0" w:color="auto"/>
            </w:tcBorders>
            <w:shd w:val="clear" w:color="auto" w:fill="auto"/>
            <w:noWrap/>
            <w:vAlign w:val="center"/>
          </w:tcPr>
          <w:p w:rsidR="00326B19" w:rsidRPr="006A6A33" w:rsidRDefault="00326B19" w:rsidP="00977447">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16-04-2020</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tcPr>
          <w:p w:rsidR="00326B19" w:rsidRPr="006A6A33" w:rsidRDefault="00326B19" w:rsidP="00977447">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84.52</w:t>
            </w:r>
          </w:p>
        </w:tc>
      </w:tr>
      <w:tr w:rsidR="00326B19" w:rsidRPr="006A6A33" w:rsidTr="002248C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26B19" w:rsidRPr="006A6A33" w:rsidRDefault="00326B19" w:rsidP="00326B19">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2</w:t>
            </w:r>
          </w:p>
        </w:tc>
        <w:tc>
          <w:tcPr>
            <w:tcW w:w="4335" w:type="dxa"/>
            <w:tcBorders>
              <w:top w:val="nil"/>
              <w:left w:val="nil"/>
              <w:bottom w:val="single" w:sz="4" w:space="0" w:color="auto"/>
              <w:right w:val="single" w:sz="4" w:space="0" w:color="auto"/>
            </w:tcBorders>
            <w:shd w:val="clear" w:color="auto" w:fill="auto"/>
          </w:tcPr>
          <w:p w:rsidR="00326B19" w:rsidRPr="00326B19" w:rsidRDefault="00326B19" w:rsidP="00326B19">
            <w:pPr>
              <w:rPr>
                <w:rFonts w:ascii="Times New Roman" w:eastAsia="Times New Roman" w:hAnsi="Times New Roman" w:cs="Times New Roman"/>
                <w:color w:val="000000"/>
                <w:sz w:val="20"/>
                <w:szCs w:val="20"/>
                <w:lang w:eastAsia="es-GT"/>
              </w:rPr>
            </w:pPr>
            <w:r w:rsidRPr="00326B19">
              <w:rPr>
                <w:rFonts w:ascii="Times New Roman" w:eastAsia="Times New Roman" w:hAnsi="Times New Roman" w:cs="Times New Roman"/>
                <w:color w:val="000000"/>
                <w:sz w:val="20"/>
                <w:szCs w:val="20"/>
                <w:lang w:eastAsia="es-GT"/>
              </w:rPr>
              <w:t>Congreso de la República de Guatemala</w:t>
            </w:r>
          </w:p>
        </w:tc>
        <w:tc>
          <w:tcPr>
            <w:tcW w:w="1909" w:type="dxa"/>
            <w:tcBorders>
              <w:top w:val="nil"/>
              <w:left w:val="nil"/>
              <w:bottom w:val="single" w:sz="4" w:space="0" w:color="auto"/>
              <w:right w:val="single" w:sz="4" w:space="0" w:color="auto"/>
            </w:tcBorders>
            <w:shd w:val="clear" w:color="auto" w:fill="auto"/>
            <w:noWrap/>
            <w:vAlign w:val="center"/>
          </w:tcPr>
          <w:p w:rsidR="00326B19" w:rsidRPr="006A6A33" w:rsidRDefault="00326B19" w:rsidP="00326B1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04-06-2020</w:t>
            </w:r>
          </w:p>
        </w:tc>
        <w:tc>
          <w:tcPr>
            <w:tcW w:w="2127" w:type="dxa"/>
            <w:tcBorders>
              <w:top w:val="single" w:sz="4" w:space="0" w:color="auto"/>
              <w:left w:val="single" w:sz="4" w:space="0" w:color="auto"/>
              <w:bottom w:val="single" w:sz="4" w:space="0" w:color="auto"/>
              <w:right w:val="single" w:sz="4" w:space="0" w:color="auto"/>
            </w:tcBorders>
            <w:shd w:val="clear" w:color="auto" w:fill="FFFF00"/>
            <w:vAlign w:val="center"/>
          </w:tcPr>
          <w:p w:rsidR="00326B19" w:rsidRPr="006A6A33" w:rsidRDefault="00326B19" w:rsidP="00326B1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70.93</w:t>
            </w:r>
          </w:p>
        </w:tc>
      </w:tr>
      <w:tr w:rsidR="00326B19" w:rsidRPr="006A6A33" w:rsidTr="002248C8">
        <w:trPr>
          <w:trHeight w:val="30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326B19" w:rsidRPr="006A6A33" w:rsidRDefault="00326B19" w:rsidP="00326B19">
            <w:pPr>
              <w:spacing w:after="0" w:line="240" w:lineRule="auto"/>
              <w:jc w:val="center"/>
              <w:rPr>
                <w:rFonts w:ascii="Times New Roman" w:eastAsia="Times New Roman" w:hAnsi="Times New Roman" w:cs="Times New Roman"/>
                <w:color w:val="000000"/>
                <w:sz w:val="20"/>
                <w:szCs w:val="20"/>
                <w:lang w:eastAsia="es-GT"/>
              </w:rPr>
            </w:pPr>
            <w:r w:rsidRPr="006A6A33">
              <w:rPr>
                <w:rFonts w:ascii="Times New Roman" w:eastAsia="Times New Roman" w:hAnsi="Times New Roman" w:cs="Times New Roman"/>
                <w:color w:val="000000"/>
                <w:sz w:val="20"/>
                <w:szCs w:val="20"/>
                <w:lang w:eastAsia="es-GT"/>
              </w:rPr>
              <w:t>3</w:t>
            </w:r>
          </w:p>
        </w:tc>
        <w:tc>
          <w:tcPr>
            <w:tcW w:w="4335" w:type="dxa"/>
            <w:tcBorders>
              <w:top w:val="nil"/>
              <w:left w:val="nil"/>
              <w:bottom w:val="single" w:sz="4" w:space="0" w:color="auto"/>
              <w:right w:val="single" w:sz="4" w:space="0" w:color="auto"/>
            </w:tcBorders>
            <w:shd w:val="clear" w:color="auto" w:fill="auto"/>
          </w:tcPr>
          <w:p w:rsidR="00326B19" w:rsidRPr="00326B19" w:rsidRDefault="00326B19" w:rsidP="00326B19">
            <w:pPr>
              <w:rPr>
                <w:rFonts w:ascii="Times New Roman" w:eastAsia="Times New Roman" w:hAnsi="Times New Roman" w:cs="Times New Roman"/>
                <w:color w:val="000000"/>
                <w:sz w:val="20"/>
                <w:szCs w:val="20"/>
                <w:lang w:eastAsia="es-GT"/>
              </w:rPr>
            </w:pPr>
            <w:r w:rsidRPr="00326B19">
              <w:rPr>
                <w:rFonts w:ascii="Times New Roman" w:eastAsia="Times New Roman" w:hAnsi="Times New Roman" w:cs="Times New Roman"/>
                <w:color w:val="000000"/>
                <w:sz w:val="20"/>
                <w:szCs w:val="20"/>
                <w:lang w:eastAsia="es-GT"/>
              </w:rPr>
              <w:t>Congreso de la República de Guatemala</w:t>
            </w:r>
          </w:p>
        </w:tc>
        <w:tc>
          <w:tcPr>
            <w:tcW w:w="1909" w:type="dxa"/>
            <w:tcBorders>
              <w:top w:val="nil"/>
              <w:left w:val="nil"/>
              <w:bottom w:val="single" w:sz="4" w:space="0" w:color="auto"/>
              <w:right w:val="single" w:sz="4" w:space="0" w:color="auto"/>
            </w:tcBorders>
            <w:shd w:val="clear" w:color="auto" w:fill="auto"/>
            <w:noWrap/>
            <w:vAlign w:val="center"/>
          </w:tcPr>
          <w:p w:rsidR="00326B19" w:rsidRPr="006A6A33" w:rsidRDefault="00326B19" w:rsidP="00326B1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17-11-2020</w:t>
            </w:r>
          </w:p>
        </w:tc>
        <w:tc>
          <w:tcPr>
            <w:tcW w:w="2127" w:type="dxa"/>
            <w:tcBorders>
              <w:top w:val="single" w:sz="4" w:space="0" w:color="auto"/>
              <w:left w:val="single" w:sz="4" w:space="0" w:color="auto"/>
              <w:bottom w:val="single" w:sz="4" w:space="0" w:color="auto"/>
              <w:right w:val="single" w:sz="4" w:space="0" w:color="auto"/>
            </w:tcBorders>
            <w:shd w:val="clear" w:color="auto" w:fill="00B050"/>
            <w:vAlign w:val="center"/>
          </w:tcPr>
          <w:p w:rsidR="00326B19" w:rsidRPr="006A6A33" w:rsidRDefault="00326B19" w:rsidP="00326B19">
            <w:pPr>
              <w:spacing w:after="0" w:line="240" w:lineRule="auto"/>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94.05</w:t>
            </w:r>
          </w:p>
        </w:tc>
      </w:tr>
    </w:tbl>
    <w:p w:rsidR="00326B19" w:rsidRPr="00452A2C" w:rsidRDefault="00326B19" w:rsidP="00452A2C">
      <w:pPr>
        <w:spacing w:after="0"/>
        <w:jc w:val="both"/>
        <w:rPr>
          <w:rFonts w:ascii="Times New Roman" w:hAnsi="Times New Roman" w:cs="Times New Roman"/>
          <w:b/>
          <w:sz w:val="24"/>
          <w:szCs w:val="24"/>
        </w:rPr>
      </w:pPr>
    </w:p>
    <w:p w:rsidR="002248C8" w:rsidRPr="008064EB" w:rsidRDefault="002248C8" w:rsidP="002248C8">
      <w:pPr>
        <w:spacing w:after="0"/>
        <w:jc w:val="both"/>
        <w:rPr>
          <w:rFonts w:ascii="Times New Roman" w:hAnsi="Times New Roman" w:cs="Times New Roman"/>
          <w:sz w:val="18"/>
          <w:szCs w:val="18"/>
        </w:rPr>
      </w:pPr>
      <w:r w:rsidRPr="008064EB">
        <w:rPr>
          <w:rFonts w:ascii="Times New Roman" w:hAnsi="Times New Roman" w:cs="Times New Roman"/>
          <w:b/>
          <w:sz w:val="18"/>
          <w:szCs w:val="18"/>
        </w:rPr>
        <w:t>Fuente:</w:t>
      </w:r>
      <w:r w:rsidRPr="008064EB">
        <w:rPr>
          <w:rFonts w:ascii="Times New Roman" w:hAnsi="Times New Roman" w:cs="Times New Roman"/>
          <w:sz w:val="18"/>
          <w:szCs w:val="18"/>
        </w:rPr>
        <w:t xml:space="preserve"> Datos propios de SECAI obtenidos de supervisiones a portales electrónicos durante el año 2020.</w:t>
      </w:r>
    </w:p>
    <w:p w:rsidR="00DC5BA1" w:rsidRPr="00452A2C" w:rsidRDefault="00DC5BA1" w:rsidP="00452A2C">
      <w:pPr>
        <w:spacing w:after="0"/>
        <w:rPr>
          <w:rFonts w:ascii="Times New Roman" w:hAnsi="Times New Roman" w:cs="Times New Roman"/>
          <w:sz w:val="24"/>
          <w:szCs w:val="24"/>
        </w:rPr>
      </w:pPr>
    </w:p>
    <w:p w:rsidR="00DC5BA1" w:rsidRDefault="00DC5BA1" w:rsidP="00452A2C">
      <w:pPr>
        <w:spacing w:after="0"/>
        <w:rPr>
          <w:rFonts w:ascii="Times New Roman" w:hAnsi="Times New Roman" w:cs="Times New Roman"/>
          <w:b/>
          <w:sz w:val="24"/>
          <w:szCs w:val="24"/>
        </w:rPr>
      </w:pPr>
    </w:p>
    <w:p w:rsidR="00326B19" w:rsidRDefault="00326B19">
      <w:pPr>
        <w:rPr>
          <w:rFonts w:ascii="Times New Roman" w:hAnsi="Times New Roman" w:cs="Times New Roman"/>
          <w:b/>
          <w:sz w:val="24"/>
          <w:szCs w:val="24"/>
        </w:rPr>
      </w:pPr>
      <w:r>
        <w:rPr>
          <w:rFonts w:ascii="Times New Roman" w:hAnsi="Times New Roman" w:cs="Times New Roman"/>
          <w:b/>
          <w:sz w:val="24"/>
          <w:szCs w:val="24"/>
        </w:rPr>
        <w:br w:type="page"/>
      </w:r>
    </w:p>
    <w:p w:rsidR="00737997" w:rsidRDefault="00737997" w:rsidP="00452A2C">
      <w:pPr>
        <w:spacing w:after="0"/>
        <w:rPr>
          <w:rFonts w:ascii="Times New Roman" w:hAnsi="Times New Roman" w:cs="Times New Roman"/>
          <w:b/>
          <w:sz w:val="24"/>
          <w:szCs w:val="24"/>
        </w:rPr>
      </w:pPr>
    </w:p>
    <w:p w:rsidR="00737997" w:rsidRDefault="00737997" w:rsidP="00452A2C">
      <w:pPr>
        <w:spacing w:after="0"/>
        <w:rPr>
          <w:rFonts w:ascii="Times New Roman" w:hAnsi="Times New Roman" w:cs="Times New Roman"/>
          <w:b/>
          <w:sz w:val="24"/>
          <w:szCs w:val="24"/>
        </w:rPr>
      </w:pPr>
    </w:p>
    <w:p w:rsidR="00737997" w:rsidRPr="00737997" w:rsidRDefault="00737997" w:rsidP="00737997">
      <w:pPr>
        <w:pStyle w:val="Ttulo1"/>
        <w:spacing w:after="0"/>
      </w:pPr>
      <w:bookmarkStart w:id="64" w:name="_Toc17802041"/>
      <w:bookmarkStart w:id="65" w:name="_Toc60223903"/>
      <w:r w:rsidRPr="00737997">
        <w:t>Conclusiones</w:t>
      </w:r>
      <w:bookmarkEnd w:id="64"/>
      <w:bookmarkEnd w:id="65"/>
    </w:p>
    <w:p w:rsidR="00737997" w:rsidRDefault="00737997" w:rsidP="00737997">
      <w:pPr>
        <w:spacing w:after="0"/>
        <w:jc w:val="both"/>
        <w:rPr>
          <w:rFonts w:ascii="Times New Roman" w:hAnsi="Times New Roman" w:cs="Times New Roman"/>
          <w:sz w:val="24"/>
          <w:szCs w:val="24"/>
        </w:rPr>
      </w:pPr>
    </w:p>
    <w:p w:rsidR="006515E6" w:rsidRPr="00737997" w:rsidRDefault="006515E6" w:rsidP="00737997">
      <w:pPr>
        <w:spacing w:after="0"/>
        <w:jc w:val="both"/>
        <w:rPr>
          <w:rFonts w:ascii="Times New Roman" w:hAnsi="Times New Roman" w:cs="Times New Roman"/>
          <w:sz w:val="24"/>
          <w:szCs w:val="24"/>
        </w:rPr>
      </w:pPr>
    </w:p>
    <w:p w:rsidR="00737997" w:rsidRDefault="008640A4" w:rsidP="008640A4">
      <w:pPr>
        <w:pStyle w:val="Prrafodelista"/>
        <w:numPr>
          <w:ilvl w:val="0"/>
          <w:numId w:val="34"/>
        </w:numPr>
        <w:spacing w:after="0"/>
        <w:jc w:val="both"/>
        <w:rPr>
          <w:rFonts w:ascii="Times New Roman" w:hAnsi="Times New Roman" w:cs="Times New Roman"/>
          <w:sz w:val="24"/>
          <w:szCs w:val="24"/>
        </w:rPr>
      </w:pPr>
      <w:r w:rsidRPr="008640A4">
        <w:rPr>
          <w:rFonts w:ascii="Times New Roman" w:hAnsi="Times New Roman" w:cs="Times New Roman"/>
          <w:sz w:val="24"/>
          <w:szCs w:val="24"/>
        </w:rPr>
        <w:t>En 2020 se cambió la manera de realizar la supervisión a portales electrónicos debido a denuncias y a otras necesidades cómo dar seguimiento a los portales, a buscar mecanismos de fortalecer a las Unidades de Información Pública de las instituciones por cambio de autoridades y de los mismos encargados de las UIP a través de asesoría o capacitación.  Es por ello que se hicieron en el Organismo Ejecutivo dos supervisiones y en el Organismo Legislativo tres supervisiones.</w:t>
      </w:r>
    </w:p>
    <w:p w:rsidR="008640A4" w:rsidRPr="008640A4" w:rsidRDefault="008640A4" w:rsidP="008640A4">
      <w:pPr>
        <w:pStyle w:val="Prrafodelista"/>
        <w:numPr>
          <w:ilvl w:val="0"/>
          <w:numId w:val="34"/>
        </w:numPr>
        <w:spacing w:after="0"/>
        <w:jc w:val="both"/>
        <w:rPr>
          <w:rFonts w:ascii="Times New Roman" w:hAnsi="Times New Roman" w:cs="Times New Roman"/>
          <w:sz w:val="24"/>
          <w:szCs w:val="24"/>
        </w:rPr>
      </w:pPr>
      <w:r w:rsidRPr="008640A4">
        <w:rPr>
          <w:rFonts w:ascii="Times New Roman" w:hAnsi="Times New Roman" w:cs="Times New Roman"/>
          <w:sz w:val="24"/>
          <w:szCs w:val="24"/>
        </w:rPr>
        <w:t>De las 70 entidades del Organismo Ejecutivo se puede evidenciar lo siguiente:</w:t>
      </w:r>
    </w:p>
    <w:p w:rsidR="008640A4" w:rsidRPr="008640A4" w:rsidRDefault="008640A4" w:rsidP="008640A4">
      <w:pPr>
        <w:pStyle w:val="Prrafodelista"/>
        <w:numPr>
          <w:ilvl w:val="1"/>
          <w:numId w:val="35"/>
        </w:numPr>
        <w:spacing w:after="0"/>
        <w:jc w:val="both"/>
        <w:rPr>
          <w:rFonts w:ascii="Times New Roman" w:hAnsi="Times New Roman" w:cs="Times New Roman"/>
          <w:sz w:val="24"/>
          <w:szCs w:val="24"/>
        </w:rPr>
      </w:pPr>
      <w:r w:rsidRPr="008640A4">
        <w:rPr>
          <w:rFonts w:ascii="Times New Roman" w:hAnsi="Times New Roman" w:cs="Times New Roman"/>
          <w:sz w:val="24"/>
          <w:szCs w:val="24"/>
        </w:rPr>
        <w:t>23 de las entidades, se encuentran con nota aceptable, representando un 32.86%. Destacando a las entidades que se encontraban en nota baja o deficiente que subieron, tales como, SENABED, Gobernación de Baja Verapaz, Ministerio de Cultura y Deportes y la Comisión de Gobierno Abierto y Electrónico.</w:t>
      </w:r>
    </w:p>
    <w:p w:rsidR="008640A4" w:rsidRPr="008640A4" w:rsidRDefault="008640A4" w:rsidP="008640A4">
      <w:pPr>
        <w:pStyle w:val="Prrafodelista"/>
        <w:numPr>
          <w:ilvl w:val="1"/>
          <w:numId w:val="35"/>
        </w:numPr>
        <w:spacing w:after="0"/>
        <w:jc w:val="both"/>
        <w:rPr>
          <w:rFonts w:ascii="Times New Roman" w:hAnsi="Times New Roman" w:cs="Times New Roman"/>
          <w:sz w:val="24"/>
          <w:szCs w:val="24"/>
        </w:rPr>
      </w:pPr>
      <w:r w:rsidRPr="008640A4">
        <w:rPr>
          <w:rFonts w:ascii="Times New Roman" w:hAnsi="Times New Roman" w:cs="Times New Roman"/>
          <w:sz w:val="24"/>
          <w:szCs w:val="24"/>
        </w:rPr>
        <w:t>28 entidades se encuentran con nota baja, representando el 40% del Organismo Ejecutivo.  Tomando en consideración que 4 entidades bajaron de nota aceptable a baja, entre ellos, Fondo de Desarrollo Indígena Guatemalteco; Ministerio de la Defensa; Gobernación Departamental de Totonicapán y Superintendencia de Telecomunicaciones. De igual manera se pudo identificar que las entidades subieron de deficiente a bajo, siendo 6 entidades, entre ellas: Gobernación de Zacapa; Autoridad para el manejo sustentable de la Cuenca del Lago de Amatitlán; SECATID, Secretaría de Bienestar Social de la Presidencia; Gobernación Departamental de Izabal; Gobernación Departamental de Huehuetenango; Comisión Presidencial contra la Discriminación y el Racismo contra los Pueblos Indígenas en Guatemala.</w:t>
      </w:r>
    </w:p>
    <w:p w:rsidR="008640A4" w:rsidRPr="008640A4" w:rsidRDefault="008640A4" w:rsidP="008640A4">
      <w:pPr>
        <w:pStyle w:val="Prrafodelista"/>
        <w:numPr>
          <w:ilvl w:val="1"/>
          <w:numId w:val="35"/>
        </w:numPr>
        <w:spacing w:after="0"/>
        <w:jc w:val="both"/>
        <w:rPr>
          <w:rFonts w:ascii="Times New Roman" w:hAnsi="Times New Roman" w:cs="Times New Roman"/>
          <w:sz w:val="24"/>
          <w:szCs w:val="24"/>
        </w:rPr>
      </w:pPr>
      <w:r w:rsidRPr="008640A4">
        <w:rPr>
          <w:rFonts w:ascii="Times New Roman" w:hAnsi="Times New Roman" w:cs="Times New Roman"/>
          <w:sz w:val="24"/>
          <w:szCs w:val="24"/>
        </w:rPr>
        <w:t>19 entidades, que representan el 27.14% del sector, se encuentran con nota deficiente, destacando lo siguiente:</w:t>
      </w:r>
    </w:p>
    <w:p w:rsidR="008640A4" w:rsidRPr="008640A4" w:rsidRDefault="008640A4" w:rsidP="008640A4">
      <w:pPr>
        <w:pStyle w:val="Prrafodelista"/>
        <w:numPr>
          <w:ilvl w:val="1"/>
          <w:numId w:val="35"/>
        </w:numPr>
        <w:spacing w:after="0"/>
        <w:jc w:val="both"/>
        <w:rPr>
          <w:rFonts w:ascii="Times New Roman" w:hAnsi="Times New Roman" w:cs="Times New Roman"/>
          <w:sz w:val="24"/>
          <w:szCs w:val="24"/>
        </w:rPr>
      </w:pPr>
      <w:r w:rsidRPr="008640A4">
        <w:rPr>
          <w:rFonts w:ascii="Times New Roman" w:hAnsi="Times New Roman" w:cs="Times New Roman"/>
          <w:sz w:val="24"/>
          <w:szCs w:val="24"/>
        </w:rPr>
        <w:t>Baja el nivel de cumplimiento de SAAS</w:t>
      </w:r>
    </w:p>
    <w:p w:rsidR="008640A4" w:rsidRPr="008640A4" w:rsidRDefault="008640A4" w:rsidP="008640A4">
      <w:pPr>
        <w:pStyle w:val="Prrafodelista"/>
        <w:numPr>
          <w:ilvl w:val="1"/>
          <w:numId w:val="35"/>
        </w:numPr>
        <w:spacing w:after="0"/>
        <w:jc w:val="both"/>
        <w:rPr>
          <w:rFonts w:ascii="Times New Roman" w:hAnsi="Times New Roman" w:cs="Times New Roman"/>
          <w:sz w:val="24"/>
          <w:szCs w:val="24"/>
        </w:rPr>
      </w:pPr>
      <w:r w:rsidRPr="008640A4">
        <w:rPr>
          <w:rFonts w:ascii="Times New Roman" w:hAnsi="Times New Roman" w:cs="Times New Roman"/>
          <w:sz w:val="24"/>
          <w:szCs w:val="24"/>
        </w:rPr>
        <w:t>Cierre del Programa Nacional de Resarcimiento; Secretaría de Asuntos Agrarios de la Presidencia; Secretaría de la Paz</w:t>
      </w:r>
    </w:p>
    <w:p w:rsidR="008640A4" w:rsidRDefault="008640A4" w:rsidP="008640A4">
      <w:pPr>
        <w:pStyle w:val="Prrafodelista"/>
        <w:numPr>
          <w:ilvl w:val="0"/>
          <w:numId w:val="34"/>
        </w:numPr>
        <w:spacing w:after="0"/>
        <w:jc w:val="both"/>
        <w:rPr>
          <w:rFonts w:ascii="Times New Roman" w:hAnsi="Times New Roman" w:cs="Times New Roman"/>
          <w:sz w:val="24"/>
          <w:szCs w:val="24"/>
        </w:rPr>
      </w:pPr>
      <w:r w:rsidRPr="008640A4">
        <w:rPr>
          <w:rFonts w:ascii="Times New Roman" w:hAnsi="Times New Roman" w:cs="Times New Roman"/>
          <w:sz w:val="24"/>
          <w:szCs w:val="24"/>
        </w:rPr>
        <w:t>En comparación con el año 2019 con el 2020, hubo un avance en los niveles de cumplimiento por sectores, ya que el nivel de cumplimiento en 2019 era de 57.41 y para el 2020 subió a 70.37, mejorando su rendimiento en un 12.96%. Sin embargo, con dicho avance aún no se alcanza un rango de cumplimiento aceptable, por lo que es necesario continuar con el seguimiento respectivo a las unidades de información y a los sujetos obligados en general.</w:t>
      </w:r>
    </w:p>
    <w:p w:rsidR="008640A4" w:rsidRDefault="008640A4" w:rsidP="008640A4">
      <w:pPr>
        <w:pStyle w:val="Prrafodelista"/>
        <w:numPr>
          <w:ilvl w:val="0"/>
          <w:numId w:val="34"/>
        </w:numPr>
        <w:spacing w:after="0"/>
        <w:jc w:val="both"/>
        <w:rPr>
          <w:rFonts w:ascii="Times New Roman" w:hAnsi="Times New Roman" w:cs="Times New Roman"/>
          <w:sz w:val="24"/>
          <w:szCs w:val="24"/>
        </w:rPr>
      </w:pPr>
      <w:r w:rsidRPr="008640A4">
        <w:rPr>
          <w:rFonts w:ascii="Times New Roman" w:hAnsi="Times New Roman" w:cs="Times New Roman"/>
          <w:sz w:val="24"/>
          <w:szCs w:val="24"/>
        </w:rPr>
        <w:t>El Organismo Legislativo durante los últimos años mantuvo una mejora en el cumplimiento de la información pública de oficio, sin embargo, para el 2020 tuvo que realizarse tres supervisiones porque su rendimiento iba a la baja y tuvo que intervenirse por parte de la Secretaría de Acceso a la Información de PDH.</w:t>
      </w:r>
    </w:p>
    <w:p w:rsidR="008640A4" w:rsidRDefault="008640A4" w:rsidP="008640A4">
      <w:pPr>
        <w:pStyle w:val="Prrafodelista"/>
        <w:numPr>
          <w:ilvl w:val="0"/>
          <w:numId w:val="34"/>
        </w:numPr>
        <w:spacing w:after="0"/>
        <w:jc w:val="both"/>
        <w:rPr>
          <w:rFonts w:ascii="Times New Roman" w:hAnsi="Times New Roman" w:cs="Times New Roman"/>
          <w:sz w:val="24"/>
          <w:szCs w:val="24"/>
        </w:rPr>
      </w:pPr>
      <w:r w:rsidRPr="008640A4">
        <w:rPr>
          <w:rFonts w:ascii="Times New Roman" w:hAnsi="Times New Roman" w:cs="Times New Roman"/>
          <w:sz w:val="24"/>
          <w:szCs w:val="24"/>
        </w:rPr>
        <w:lastRenderedPageBreak/>
        <w:t>El Organismo Judicial tuvo un avance en su cumplimiento de información pública de oficio de 80 a 83.33, sin embargo, todavía aparece en cumplimiento bajo.</w:t>
      </w:r>
    </w:p>
    <w:p w:rsidR="008640A4" w:rsidRPr="008640A4" w:rsidRDefault="008640A4" w:rsidP="008640A4">
      <w:pPr>
        <w:pStyle w:val="Prrafodelista"/>
        <w:numPr>
          <w:ilvl w:val="0"/>
          <w:numId w:val="34"/>
        </w:numPr>
        <w:spacing w:after="0"/>
        <w:jc w:val="both"/>
        <w:rPr>
          <w:rFonts w:ascii="Times New Roman" w:hAnsi="Times New Roman" w:cs="Times New Roman"/>
          <w:sz w:val="24"/>
          <w:szCs w:val="24"/>
        </w:rPr>
      </w:pPr>
      <w:r w:rsidRPr="008640A4">
        <w:rPr>
          <w:rFonts w:ascii="Times New Roman" w:hAnsi="Times New Roman" w:cs="Times New Roman"/>
          <w:sz w:val="24"/>
          <w:szCs w:val="24"/>
        </w:rPr>
        <w:t>Los portales y la publicación en los mismos de la información que la ley establece, es conocido como transparencia activa, y de acuerdo con la medición 15 de las 72 entidades publican la mitad o menos de lo que la Ley les obliga, y coinciden con varios incumplimientos. Ello se refleja en la poca o nula capacitación que reciben o requieren las unidades de información pública en la materia, sobre todo para capacitar o sensibilizar a los enlaces o poseedores de la información pública.</w:t>
      </w:r>
    </w:p>
    <w:p w:rsidR="008640A4" w:rsidRPr="008640A4" w:rsidRDefault="008640A4" w:rsidP="008640A4">
      <w:pPr>
        <w:pStyle w:val="Prrafodelista"/>
        <w:numPr>
          <w:ilvl w:val="0"/>
          <w:numId w:val="34"/>
        </w:numPr>
        <w:spacing w:after="0"/>
        <w:jc w:val="both"/>
        <w:rPr>
          <w:rFonts w:ascii="Times New Roman" w:hAnsi="Times New Roman" w:cs="Times New Roman"/>
          <w:sz w:val="24"/>
          <w:szCs w:val="24"/>
        </w:rPr>
      </w:pPr>
      <w:r w:rsidRPr="008640A4">
        <w:rPr>
          <w:rFonts w:ascii="Times New Roman" w:hAnsi="Times New Roman" w:cs="Times New Roman"/>
          <w:sz w:val="24"/>
          <w:szCs w:val="24"/>
        </w:rPr>
        <w:t xml:space="preserve">Una de las principales deficiencias es la falta o no cumplimiento del informe de pertenencia sociolingüística </w:t>
      </w:r>
    </w:p>
    <w:p w:rsidR="008640A4" w:rsidRPr="008640A4" w:rsidRDefault="008640A4" w:rsidP="008640A4">
      <w:pPr>
        <w:pStyle w:val="Prrafodelista"/>
        <w:numPr>
          <w:ilvl w:val="0"/>
          <w:numId w:val="34"/>
        </w:numPr>
        <w:spacing w:after="0"/>
        <w:jc w:val="both"/>
        <w:rPr>
          <w:rFonts w:ascii="Times New Roman" w:hAnsi="Times New Roman" w:cs="Times New Roman"/>
          <w:sz w:val="24"/>
          <w:szCs w:val="24"/>
        </w:rPr>
      </w:pPr>
      <w:r w:rsidRPr="008640A4">
        <w:rPr>
          <w:rFonts w:ascii="Times New Roman" w:hAnsi="Times New Roman" w:cs="Times New Roman"/>
          <w:sz w:val="24"/>
          <w:szCs w:val="24"/>
        </w:rPr>
        <w:t>Se evidencia dentro de los diferentes resultados de las supervisiones realizadas que las entidades no revisan los hallazgos colocados en los informes.</w:t>
      </w:r>
    </w:p>
    <w:p w:rsidR="008640A4" w:rsidRDefault="008640A4" w:rsidP="00737997">
      <w:pPr>
        <w:spacing w:after="0"/>
        <w:jc w:val="both"/>
        <w:rPr>
          <w:rFonts w:ascii="Times New Roman" w:hAnsi="Times New Roman" w:cs="Times New Roman"/>
          <w:sz w:val="24"/>
          <w:szCs w:val="24"/>
        </w:rPr>
      </w:pPr>
    </w:p>
    <w:p w:rsidR="00737997" w:rsidRPr="00737997" w:rsidRDefault="00737997" w:rsidP="00737997">
      <w:pPr>
        <w:spacing w:after="0"/>
        <w:jc w:val="both"/>
        <w:rPr>
          <w:rFonts w:ascii="Times New Roman" w:hAnsi="Times New Roman" w:cs="Times New Roman"/>
          <w:sz w:val="24"/>
          <w:szCs w:val="24"/>
        </w:rPr>
      </w:pPr>
    </w:p>
    <w:p w:rsidR="00737997" w:rsidRPr="00452A2C" w:rsidRDefault="00737997" w:rsidP="00452A2C">
      <w:pPr>
        <w:spacing w:after="0"/>
        <w:rPr>
          <w:rFonts w:ascii="Times New Roman" w:hAnsi="Times New Roman" w:cs="Times New Roman"/>
          <w:b/>
          <w:sz w:val="24"/>
          <w:szCs w:val="24"/>
        </w:rPr>
      </w:pPr>
    </w:p>
    <w:p w:rsidR="00C5780E" w:rsidRPr="00452A2C" w:rsidRDefault="00C5780E" w:rsidP="00452A2C">
      <w:pPr>
        <w:spacing w:after="0"/>
        <w:rPr>
          <w:rFonts w:ascii="Times New Roman" w:hAnsi="Times New Roman" w:cs="Times New Roman"/>
          <w:sz w:val="24"/>
          <w:szCs w:val="24"/>
        </w:rPr>
      </w:pPr>
    </w:p>
    <w:p w:rsidR="00C5780E" w:rsidRPr="00452A2C" w:rsidRDefault="00C5780E" w:rsidP="00452A2C">
      <w:pPr>
        <w:spacing w:after="0"/>
        <w:rPr>
          <w:rFonts w:ascii="Times New Roman" w:hAnsi="Times New Roman" w:cs="Times New Roman"/>
          <w:sz w:val="24"/>
          <w:szCs w:val="24"/>
        </w:rPr>
        <w:sectPr w:rsidR="00C5780E" w:rsidRPr="00452A2C" w:rsidSect="00CE6D7E">
          <w:headerReference w:type="default" r:id="rId12"/>
          <w:footerReference w:type="default" r:id="rId13"/>
          <w:headerReference w:type="first" r:id="rId14"/>
          <w:pgSz w:w="12240" w:h="15840"/>
          <w:pgMar w:top="1417" w:right="1701" w:bottom="1276" w:left="1560" w:header="708" w:footer="708" w:gutter="0"/>
          <w:cols w:space="708"/>
          <w:titlePg/>
          <w:docGrid w:linePitch="360"/>
        </w:sectPr>
      </w:pPr>
    </w:p>
    <w:p w:rsidR="00E01B0F" w:rsidRPr="00B86942" w:rsidRDefault="0016422B" w:rsidP="001A67EC">
      <w:pPr>
        <w:pStyle w:val="Ttulo1"/>
      </w:pPr>
      <w:bookmarkStart w:id="66" w:name="_Toc60223904"/>
      <w:r>
        <w:lastRenderedPageBreak/>
        <w:t>R</w:t>
      </w:r>
      <w:r w:rsidR="00E01B0F" w:rsidRPr="00B86942">
        <w:t>ecomendaciones</w:t>
      </w:r>
      <w:bookmarkEnd w:id="66"/>
    </w:p>
    <w:p w:rsidR="00E01B0F" w:rsidRDefault="00E01B0F" w:rsidP="00E01B0F">
      <w:pPr>
        <w:spacing w:after="0" w:line="240" w:lineRule="auto"/>
        <w:jc w:val="both"/>
        <w:rPr>
          <w:rFonts w:ascii="Times New Roman" w:hAnsi="Times New Roman" w:cs="Times New Roman"/>
          <w:sz w:val="24"/>
          <w:szCs w:val="24"/>
        </w:rPr>
      </w:pP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sidRPr="008640A4">
        <w:rPr>
          <w:rFonts w:ascii="Times New Roman" w:hAnsi="Times New Roman" w:cs="Times New Roman"/>
          <w:sz w:val="24"/>
          <w:szCs w:val="24"/>
        </w:rPr>
        <w:t>A todos los sujetos obligados recordar que los portales que:</w:t>
      </w:r>
    </w:p>
    <w:p w:rsidR="008640A4" w:rsidRPr="008640A4" w:rsidRDefault="008640A4" w:rsidP="008640A4">
      <w:pPr>
        <w:spacing w:after="0"/>
        <w:ind w:left="708"/>
        <w:jc w:val="both"/>
        <w:rPr>
          <w:rFonts w:ascii="Times New Roman" w:hAnsi="Times New Roman" w:cs="Times New Roman"/>
          <w:sz w:val="24"/>
          <w:szCs w:val="24"/>
        </w:rPr>
      </w:pPr>
      <w:r w:rsidRPr="008640A4">
        <w:rPr>
          <w:rFonts w:ascii="Times New Roman" w:hAnsi="Times New Roman" w:cs="Times New Roman"/>
          <w:sz w:val="24"/>
          <w:szCs w:val="24"/>
        </w:rPr>
        <w:t>a)</w:t>
      </w:r>
      <w:r w:rsidRPr="008640A4">
        <w:rPr>
          <w:rFonts w:ascii="Times New Roman" w:hAnsi="Times New Roman" w:cs="Times New Roman"/>
          <w:sz w:val="24"/>
          <w:szCs w:val="24"/>
        </w:rPr>
        <w:tab/>
        <w:t>deben actualizarse de manera periódica, al menos cada 30 días;</w:t>
      </w:r>
    </w:p>
    <w:p w:rsidR="008640A4" w:rsidRPr="008640A4" w:rsidRDefault="008640A4" w:rsidP="008640A4">
      <w:pPr>
        <w:spacing w:after="0"/>
        <w:ind w:left="708"/>
        <w:jc w:val="both"/>
        <w:rPr>
          <w:rFonts w:ascii="Times New Roman" w:hAnsi="Times New Roman" w:cs="Times New Roman"/>
          <w:sz w:val="24"/>
          <w:szCs w:val="24"/>
        </w:rPr>
      </w:pPr>
      <w:r w:rsidRPr="008640A4">
        <w:rPr>
          <w:rFonts w:ascii="Times New Roman" w:hAnsi="Times New Roman" w:cs="Times New Roman"/>
          <w:sz w:val="24"/>
          <w:szCs w:val="24"/>
        </w:rPr>
        <w:t>b)</w:t>
      </w:r>
      <w:r w:rsidRPr="008640A4">
        <w:rPr>
          <w:rFonts w:ascii="Times New Roman" w:hAnsi="Times New Roman" w:cs="Times New Roman"/>
          <w:sz w:val="24"/>
          <w:szCs w:val="24"/>
        </w:rPr>
        <w:tab/>
        <w:t>es necesario mantener un programa de capacitación en Información Pública de Oficio para comprender los criterios de evaluación;</w:t>
      </w:r>
    </w:p>
    <w:p w:rsidR="008D5F13" w:rsidRDefault="008640A4" w:rsidP="008640A4">
      <w:pPr>
        <w:spacing w:after="0"/>
        <w:ind w:left="708"/>
        <w:jc w:val="both"/>
        <w:rPr>
          <w:rFonts w:ascii="Times New Roman" w:hAnsi="Times New Roman" w:cs="Times New Roman"/>
          <w:sz w:val="24"/>
          <w:szCs w:val="24"/>
        </w:rPr>
      </w:pPr>
      <w:r w:rsidRPr="008640A4">
        <w:rPr>
          <w:rFonts w:ascii="Times New Roman" w:hAnsi="Times New Roman" w:cs="Times New Roman"/>
          <w:sz w:val="24"/>
          <w:szCs w:val="24"/>
        </w:rPr>
        <w:t>c)</w:t>
      </w:r>
      <w:r w:rsidRPr="008640A4">
        <w:rPr>
          <w:rFonts w:ascii="Times New Roman" w:hAnsi="Times New Roman" w:cs="Times New Roman"/>
          <w:sz w:val="24"/>
          <w:szCs w:val="24"/>
        </w:rPr>
        <w:tab/>
        <w:t>las consultas por dudas o necesidad de asesoría deben dirigirse a la Secretaría de Acceso a la Información para orientación.</w:t>
      </w: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sidRPr="008640A4">
        <w:rPr>
          <w:rFonts w:ascii="Times New Roman" w:hAnsi="Times New Roman" w:cs="Times New Roman"/>
          <w:sz w:val="24"/>
          <w:szCs w:val="24"/>
        </w:rPr>
        <w:t>A los sujetos obligados del Organismo Ejecutivo se recomienda lo siguiente:</w:t>
      </w:r>
    </w:p>
    <w:p w:rsidR="008640A4" w:rsidRPr="008640A4" w:rsidRDefault="008640A4" w:rsidP="008640A4">
      <w:pPr>
        <w:pStyle w:val="Prrafodelista"/>
        <w:numPr>
          <w:ilvl w:val="0"/>
          <w:numId w:val="37"/>
        </w:numPr>
        <w:spacing w:after="0"/>
        <w:jc w:val="both"/>
        <w:rPr>
          <w:rFonts w:ascii="Times New Roman" w:hAnsi="Times New Roman" w:cs="Times New Roman"/>
          <w:sz w:val="24"/>
          <w:szCs w:val="24"/>
        </w:rPr>
      </w:pPr>
      <w:r w:rsidRPr="008640A4">
        <w:rPr>
          <w:rFonts w:ascii="Times New Roman" w:hAnsi="Times New Roman" w:cs="Times New Roman"/>
          <w:sz w:val="24"/>
          <w:szCs w:val="24"/>
        </w:rPr>
        <w:t>Generar acciones de manera de incrementar el porcentaje de entidades que estén en nota aceptable, ya que el porcentaje es bajo, ya que en el debido cumplimiento de la LAIP debiera estar al 100% de la información publicada.</w:t>
      </w:r>
    </w:p>
    <w:p w:rsidR="008640A4" w:rsidRPr="008640A4" w:rsidRDefault="008640A4" w:rsidP="008640A4">
      <w:pPr>
        <w:pStyle w:val="Prrafodelista"/>
        <w:numPr>
          <w:ilvl w:val="0"/>
          <w:numId w:val="37"/>
        </w:numPr>
        <w:spacing w:after="0"/>
        <w:jc w:val="both"/>
        <w:rPr>
          <w:rFonts w:ascii="Times New Roman" w:hAnsi="Times New Roman" w:cs="Times New Roman"/>
          <w:sz w:val="24"/>
          <w:szCs w:val="24"/>
        </w:rPr>
      </w:pPr>
      <w:r w:rsidRPr="008640A4">
        <w:rPr>
          <w:rFonts w:ascii="Times New Roman" w:hAnsi="Times New Roman" w:cs="Times New Roman"/>
          <w:sz w:val="24"/>
          <w:szCs w:val="24"/>
        </w:rPr>
        <w:t>En relación a las entidades con nota baja y deficiente, evaluar qué acciones debe emprender el Organismo Ejecutivo a fin de que se dé cumplimiento a la información pública de oficio particularmente a las gobernaciones departamentales, entre otras.</w:t>
      </w:r>
    </w:p>
    <w:p w:rsidR="008640A4" w:rsidRPr="008640A4" w:rsidRDefault="008640A4" w:rsidP="008640A4">
      <w:pPr>
        <w:pStyle w:val="Prrafodelista"/>
        <w:numPr>
          <w:ilvl w:val="0"/>
          <w:numId w:val="37"/>
        </w:numPr>
        <w:spacing w:after="0"/>
        <w:jc w:val="both"/>
        <w:rPr>
          <w:rFonts w:ascii="Times New Roman" w:hAnsi="Times New Roman" w:cs="Times New Roman"/>
          <w:sz w:val="24"/>
          <w:szCs w:val="24"/>
        </w:rPr>
      </w:pPr>
      <w:r w:rsidRPr="008640A4">
        <w:rPr>
          <w:rFonts w:ascii="Times New Roman" w:hAnsi="Times New Roman" w:cs="Times New Roman"/>
          <w:sz w:val="24"/>
          <w:szCs w:val="24"/>
        </w:rPr>
        <w:t>Pasados 12 años desde la aprobación de la ley de Acceso a la Información Pública, se hace necesario dotar a las unidades de información del presupuesto, personal e insumos necesarios para contar con portales electrónicos y las acciones necesarias para el cumplimiento de la ley.</w:t>
      </w:r>
    </w:p>
    <w:p w:rsidR="008640A4" w:rsidRPr="008640A4" w:rsidRDefault="008640A4" w:rsidP="008640A4">
      <w:pPr>
        <w:pStyle w:val="Prrafodelista"/>
        <w:numPr>
          <w:ilvl w:val="0"/>
          <w:numId w:val="37"/>
        </w:numPr>
        <w:spacing w:after="0"/>
        <w:jc w:val="both"/>
        <w:rPr>
          <w:rFonts w:ascii="Times New Roman" w:hAnsi="Times New Roman" w:cs="Times New Roman"/>
          <w:sz w:val="24"/>
          <w:szCs w:val="24"/>
        </w:rPr>
      </w:pPr>
      <w:r w:rsidRPr="008640A4">
        <w:rPr>
          <w:rFonts w:ascii="Times New Roman" w:hAnsi="Times New Roman" w:cs="Times New Roman"/>
          <w:sz w:val="24"/>
          <w:szCs w:val="24"/>
        </w:rPr>
        <w:t>En los casos de cierre de las entidades, se recomienda lo siguiente:</w:t>
      </w:r>
    </w:p>
    <w:p w:rsidR="008640A4" w:rsidRPr="008640A4" w:rsidRDefault="008640A4" w:rsidP="008640A4">
      <w:pPr>
        <w:pStyle w:val="Prrafodelista"/>
        <w:numPr>
          <w:ilvl w:val="0"/>
          <w:numId w:val="37"/>
        </w:numPr>
        <w:spacing w:after="0"/>
        <w:jc w:val="both"/>
        <w:rPr>
          <w:rFonts w:ascii="Times New Roman" w:hAnsi="Times New Roman" w:cs="Times New Roman"/>
          <w:sz w:val="24"/>
          <w:szCs w:val="24"/>
        </w:rPr>
      </w:pPr>
      <w:r w:rsidRPr="008640A4">
        <w:rPr>
          <w:rFonts w:ascii="Times New Roman" w:hAnsi="Times New Roman" w:cs="Times New Roman"/>
          <w:sz w:val="24"/>
          <w:szCs w:val="24"/>
        </w:rPr>
        <w:t>Informar a la Procuraduría de los Derechos Humanos a través de la Secretaría de Acceso a la Información Pública, a que institución se trasladaron los archivos, para tenerlos disponibles a toda persona.</w:t>
      </w:r>
    </w:p>
    <w:p w:rsidR="008640A4" w:rsidRPr="008640A4" w:rsidRDefault="008640A4" w:rsidP="008640A4">
      <w:pPr>
        <w:pStyle w:val="Prrafodelista"/>
        <w:numPr>
          <w:ilvl w:val="0"/>
          <w:numId w:val="37"/>
        </w:numPr>
        <w:spacing w:after="0"/>
        <w:jc w:val="both"/>
        <w:rPr>
          <w:rFonts w:ascii="Times New Roman" w:hAnsi="Times New Roman" w:cs="Times New Roman"/>
          <w:sz w:val="24"/>
          <w:szCs w:val="24"/>
        </w:rPr>
      </w:pPr>
      <w:r w:rsidRPr="008640A4">
        <w:rPr>
          <w:rFonts w:ascii="Times New Roman" w:hAnsi="Times New Roman" w:cs="Times New Roman"/>
          <w:sz w:val="24"/>
          <w:szCs w:val="24"/>
        </w:rPr>
        <w:t>Recordar que no se puede ni se debe destruir archivos de acuerdo con lo que indica la LAIP, de acuerdo al capítulo séptimo artículos 36 y 37.</w:t>
      </w:r>
    </w:p>
    <w:p w:rsidR="008640A4" w:rsidRPr="008640A4" w:rsidRDefault="008640A4" w:rsidP="008640A4">
      <w:pPr>
        <w:pStyle w:val="Prrafodelista"/>
        <w:numPr>
          <w:ilvl w:val="0"/>
          <w:numId w:val="37"/>
        </w:numPr>
        <w:spacing w:after="0"/>
        <w:jc w:val="both"/>
        <w:rPr>
          <w:rFonts w:ascii="Times New Roman" w:hAnsi="Times New Roman" w:cs="Times New Roman"/>
          <w:sz w:val="24"/>
          <w:szCs w:val="24"/>
        </w:rPr>
      </w:pPr>
      <w:r w:rsidRPr="008640A4">
        <w:rPr>
          <w:rFonts w:ascii="Times New Roman" w:hAnsi="Times New Roman" w:cs="Times New Roman"/>
          <w:sz w:val="24"/>
          <w:szCs w:val="24"/>
        </w:rPr>
        <w:t>Cualquier acción relacionada con los archivos e información de las instituciones debe estar debidamente registrada a través de actas.</w:t>
      </w: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A</w:t>
      </w:r>
      <w:r w:rsidRPr="008640A4">
        <w:rPr>
          <w:rFonts w:ascii="Times New Roman" w:hAnsi="Times New Roman" w:cs="Times New Roman"/>
          <w:sz w:val="24"/>
          <w:szCs w:val="24"/>
        </w:rPr>
        <w:t>l Organismo Ejecutivo continuar con las acciones de fortalecimiento que se realizaron en 2020 para mejorar el cumplimiento, dando seguimiento a las recomendaciones emitidas en cada informe, poniendo especial atención a las entidades que se encuentran con notas bajas y deficientes.  Particularmente, se promueva en el Organismo Ejecutivo acciones de fortalecimiento institucional en apoyo a las gobernaciones departamentales las cuáles reflejan como sector los niveles más bajos de cumplimiento, siendo en promedio 49.91%.</w:t>
      </w: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A</w:t>
      </w:r>
      <w:r w:rsidRPr="008640A4">
        <w:rPr>
          <w:rFonts w:ascii="Times New Roman" w:hAnsi="Times New Roman" w:cs="Times New Roman"/>
          <w:sz w:val="24"/>
          <w:szCs w:val="24"/>
        </w:rPr>
        <w:t>l Organismo Legislativo se le recomienda buscar los mecanismos que permita cumplir con los estándares que se habían mantenido durante los últimos años y realizar las acciones necesarias para mantener la información pública de oficio actualizada y disponible en todo momento.</w:t>
      </w: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A</w:t>
      </w:r>
      <w:r w:rsidRPr="008640A4">
        <w:rPr>
          <w:rFonts w:ascii="Times New Roman" w:hAnsi="Times New Roman" w:cs="Times New Roman"/>
          <w:sz w:val="24"/>
          <w:szCs w:val="24"/>
        </w:rPr>
        <w:t xml:space="preserve">l Organismo Judicial proceder a publicar la totalidad de aspectos que establecidos en los artículos 10 y 12 de la LAIP. </w:t>
      </w: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sidRPr="008640A4">
        <w:rPr>
          <w:rFonts w:ascii="Times New Roman" w:hAnsi="Times New Roman" w:cs="Times New Roman"/>
          <w:sz w:val="24"/>
          <w:szCs w:val="24"/>
        </w:rPr>
        <w:t>Dar cumplimiento con lo que indica la LAIP y cumplir con todos los numerales que indica el artículo 10, 11, 12 y 13 respectivamente para cada uno de los Organismos del presente informe.</w:t>
      </w: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sidRPr="008640A4">
        <w:rPr>
          <w:rFonts w:ascii="Times New Roman" w:hAnsi="Times New Roman" w:cs="Times New Roman"/>
          <w:sz w:val="24"/>
          <w:szCs w:val="24"/>
        </w:rPr>
        <w:lastRenderedPageBreak/>
        <w:t>Cumplir con los parámetros que da la cultura de transparencia en la LAIP.</w:t>
      </w: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sidRPr="008640A4">
        <w:rPr>
          <w:rFonts w:ascii="Times New Roman" w:hAnsi="Times New Roman" w:cs="Times New Roman"/>
          <w:sz w:val="24"/>
          <w:szCs w:val="24"/>
        </w:rPr>
        <w:t>Se recomienda a todos los sujetos obligados con base a lineamientos internos o con asistencia técnica del Procurador de Derechos Humanos, los parámetros para elaborar el informe de pertenencia sociolingüística, establecido en el artículo 10 numeral 28 de la Ley de Acceso a la Información Pública, dado el incumplimiento generalizado en la publicación de dicho informe.</w:t>
      </w:r>
    </w:p>
    <w:p w:rsidR="008640A4" w:rsidRPr="008640A4" w:rsidRDefault="008640A4" w:rsidP="008640A4">
      <w:pPr>
        <w:pStyle w:val="Prrafodelista"/>
        <w:numPr>
          <w:ilvl w:val="0"/>
          <w:numId w:val="36"/>
        </w:numPr>
        <w:spacing w:after="0"/>
        <w:jc w:val="both"/>
        <w:rPr>
          <w:rFonts w:ascii="Times New Roman" w:hAnsi="Times New Roman" w:cs="Times New Roman"/>
          <w:sz w:val="24"/>
          <w:szCs w:val="24"/>
        </w:rPr>
      </w:pPr>
      <w:r w:rsidRPr="008640A4">
        <w:rPr>
          <w:rFonts w:ascii="Times New Roman" w:hAnsi="Times New Roman" w:cs="Times New Roman"/>
          <w:sz w:val="24"/>
          <w:szCs w:val="24"/>
        </w:rPr>
        <w:t>Las entidades que incumplen con todas o la mayoría de obligaciones deben atender lo descrito en los informes individuales remitidos con celeridad, dada la vulneración al derecho humano a la información pública resultante de su incumplimiento.  El Procurador de Derechos Humanos, Autoridad Reguladora en la materia, dará seguimiento y atención a los hallazgos y recomendaciones del presente informe en el marco de las atribuciones legales que le corresponden. Ya que los informes serán remitidos a la Contraloría General de Cuentas para el seguimiento correspondiente en el marco de sus propias atribuciones.</w:t>
      </w:r>
    </w:p>
    <w:sectPr w:rsidR="008640A4" w:rsidRPr="008640A4" w:rsidSect="00D84FA3">
      <w:footerReference w:type="default" r:id="rId1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F42" w:rsidRDefault="00243F42" w:rsidP="003C76B5">
      <w:pPr>
        <w:spacing w:after="0" w:line="240" w:lineRule="auto"/>
      </w:pPr>
      <w:r>
        <w:separator/>
      </w:r>
    </w:p>
  </w:endnote>
  <w:endnote w:type="continuationSeparator" w:id="0">
    <w:p w:rsidR="00243F42" w:rsidRDefault="00243F42" w:rsidP="003C7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leT">
    <w:altName w:val="Castle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636656"/>
      <w:docPartObj>
        <w:docPartGallery w:val="Page Numbers (Bottom of Page)"/>
        <w:docPartUnique/>
      </w:docPartObj>
    </w:sdtPr>
    <w:sdtEndPr/>
    <w:sdtContent>
      <w:p w:rsidR="00956C4F" w:rsidRDefault="00956C4F">
        <w:pPr>
          <w:pStyle w:val="Piedepgina"/>
          <w:jc w:val="center"/>
        </w:pPr>
        <w:r>
          <w:fldChar w:fldCharType="begin"/>
        </w:r>
        <w:r>
          <w:instrText>PAGE   \* MERGEFORMAT</w:instrText>
        </w:r>
        <w:r>
          <w:fldChar w:fldCharType="separate"/>
        </w:r>
        <w:r w:rsidR="0032626C" w:rsidRPr="0032626C">
          <w:rPr>
            <w:noProof/>
            <w:lang w:val="es-ES"/>
          </w:rPr>
          <w:t>4</w:t>
        </w:r>
        <w:r>
          <w:fldChar w:fldCharType="end"/>
        </w:r>
      </w:p>
    </w:sdtContent>
  </w:sdt>
  <w:p w:rsidR="00956C4F" w:rsidRDefault="00956C4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475222"/>
      <w:docPartObj>
        <w:docPartGallery w:val="Page Numbers (Bottom of Page)"/>
        <w:docPartUnique/>
      </w:docPartObj>
    </w:sdtPr>
    <w:sdtEndPr/>
    <w:sdtContent>
      <w:p w:rsidR="00956C4F" w:rsidRDefault="00956C4F">
        <w:pPr>
          <w:pStyle w:val="Piedepgina"/>
          <w:jc w:val="right"/>
        </w:pPr>
        <w:r>
          <w:fldChar w:fldCharType="begin"/>
        </w:r>
        <w:r>
          <w:instrText>PAGE   \* MERGEFORMAT</w:instrText>
        </w:r>
        <w:r>
          <w:fldChar w:fldCharType="separate"/>
        </w:r>
        <w:r w:rsidR="0032626C" w:rsidRPr="0032626C">
          <w:rPr>
            <w:noProof/>
            <w:lang w:val="es-ES"/>
          </w:rPr>
          <w:t>21</w:t>
        </w:r>
        <w:r>
          <w:fldChar w:fldCharType="end"/>
        </w:r>
      </w:p>
    </w:sdtContent>
  </w:sdt>
  <w:p w:rsidR="00956C4F" w:rsidRDefault="00956C4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F42" w:rsidRDefault="00243F42" w:rsidP="003C76B5">
      <w:pPr>
        <w:spacing w:after="0" w:line="240" w:lineRule="auto"/>
      </w:pPr>
      <w:r>
        <w:separator/>
      </w:r>
    </w:p>
  </w:footnote>
  <w:footnote w:type="continuationSeparator" w:id="0">
    <w:p w:rsidR="00243F42" w:rsidRDefault="00243F42" w:rsidP="003C76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C4F" w:rsidRDefault="00956C4F">
    <w:pPr>
      <w:pStyle w:val="Encabezado"/>
      <w:jc w:val="right"/>
    </w:pPr>
    <w:r w:rsidRPr="00F475D2">
      <w:rPr>
        <w:noProof/>
        <w:lang w:eastAsia="es-GT"/>
      </w:rPr>
      <w:drawing>
        <wp:anchor distT="0" distB="0" distL="114300" distR="114300" simplePos="0" relativeHeight="251661312" behindDoc="1" locked="0" layoutInCell="1" allowOverlap="1" wp14:anchorId="7C499B94" wp14:editId="2EE2679D">
          <wp:simplePos x="0" y="0"/>
          <wp:positionH relativeFrom="page">
            <wp:align>right</wp:align>
          </wp:positionH>
          <wp:positionV relativeFrom="paragraph">
            <wp:posOffset>-438785</wp:posOffset>
          </wp:positionV>
          <wp:extent cx="7764780" cy="891540"/>
          <wp:effectExtent l="0" t="0" r="7620" b="3810"/>
          <wp:wrapNone/>
          <wp:docPr id="16" name="Imagen 16" descr="G:\liston1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iston1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C4F" w:rsidRDefault="00956C4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C4F" w:rsidRDefault="00956C4F">
    <w:pPr>
      <w:pStyle w:val="Encabezado"/>
    </w:pPr>
    <w:r w:rsidRPr="00043073">
      <w:rPr>
        <w:noProof/>
        <w:lang w:eastAsia="es-GT"/>
      </w:rPr>
      <w:drawing>
        <wp:anchor distT="0" distB="0" distL="114300" distR="114300" simplePos="0" relativeHeight="251659264" behindDoc="1" locked="0" layoutInCell="1" allowOverlap="1" wp14:anchorId="3EADCCC6" wp14:editId="2C95A07F">
          <wp:simplePos x="0" y="0"/>
          <wp:positionH relativeFrom="page">
            <wp:align>right</wp:align>
          </wp:positionH>
          <wp:positionV relativeFrom="page">
            <wp:align>top</wp:align>
          </wp:positionV>
          <wp:extent cx="7765200" cy="10051200"/>
          <wp:effectExtent l="0" t="0" r="7620" b="7620"/>
          <wp:wrapNone/>
          <wp:docPr id="17" name="Imagen 17" descr="G:\portadita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rtadita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5200" cy="1005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2.25pt;height:34.5pt" o:bullet="t">
        <v:imagedata r:id="rId1" o:title="candado"/>
      </v:shape>
    </w:pict>
  </w:numPicBullet>
  <w:abstractNum w:abstractNumId="0" w15:restartNumberingAfterBreak="0">
    <w:nsid w:val="013A4C1A"/>
    <w:multiLevelType w:val="hybridMultilevel"/>
    <w:tmpl w:val="9DCE789C"/>
    <w:lvl w:ilvl="0" w:tplc="474E0C8C">
      <w:start w:val="1"/>
      <w:numFmt w:val="bullet"/>
      <w:lvlText w:val=""/>
      <w:lvlPicBulletId w:val="0"/>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038252F9"/>
    <w:multiLevelType w:val="multilevel"/>
    <w:tmpl w:val="BB62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A1736"/>
    <w:multiLevelType w:val="hybridMultilevel"/>
    <w:tmpl w:val="CAE8B9A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66B57E3"/>
    <w:multiLevelType w:val="hybridMultilevel"/>
    <w:tmpl w:val="CF2A0056"/>
    <w:lvl w:ilvl="0" w:tplc="B88C8884">
      <w:numFmt w:val="bullet"/>
      <w:lvlText w:val="-"/>
      <w:lvlJc w:val="left"/>
      <w:pPr>
        <w:ind w:left="720" w:hanging="360"/>
      </w:pPr>
      <w:rPr>
        <w:rFonts w:ascii="Trebuchet MS" w:eastAsiaTheme="minorHAnsi" w:hAnsi="Trebuchet MS"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AE40C1E"/>
    <w:multiLevelType w:val="hybridMultilevel"/>
    <w:tmpl w:val="39FCC57C"/>
    <w:lvl w:ilvl="0" w:tplc="A142F4F6">
      <w:start w:val="1"/>
      <w:numFmt w:val="bullet"/>
      <w:lvlText w:val="•"/>
      <w:lvlJc w:val="left"/>
      <w:pPr>
        <w:tabs>
          <w:tab w:val="num" w:pos="720"/>
        </w:tabs>
        <w:ind w:left="720" w:hanging="360"/>
      </w:pPr>
      <w:rPr>
        <w:rFonts w:ascii="Arial" w:hAnsi="Arial" w:hint="default"/>
      </w:rPr>
    </w:lvl>
    <w:lvl w:ilvl="1" w:tplc="152A3330" w:tentative="1">
      <w:start w:val="1"/>
      <w:numFmt w:val="bullet"/>
      <w:lvlText w:val="•"/>
      <w:lvlJc w:val="left"/>
      <w:pPr>
        <w:tabs>
          <w:tab w:val="num" w:pos="1440"/>
        </w:tabs>
        <w:ind w:left="1440" w:hanging="360"/>
      </w:pPr>
      <w:rPr>
        <w:rFonts w:ascii="Arial" w:hAnsi="Arial" w:hint="default"/>
      </w:rPr>
    </w:lvl>
    <w:lvl w:ilvl="2" w:tplc="3B1AB850" w:tentative="1">
      <w:start w:val="1"/>
      <w:numFmt w:val="bullet"/>
      <w:lvlText w:val="•"/>
      <w:lvlJc w:val="left"/>
      <w:pPr>
        <w:tabs>
          <w:tab w:val="num" w:pos="2160"/>
        </w:tabs>
        <w:ind w:left="2160" w:hanging="360"/>
      </w:pPr>
      <w:rPr>
        <w:rFonts w:ascii="Arial" w:hAnsi="Arial" w:hint="default"/>
      </w:rPr>
    </w:lvl>
    <w:lvl w:ilvl="3" w:tplc="545EE9FC" w:tentative="1">
      <w:start w:val="1"/>
      <w:numFmt w:val="bullet"/>
      <w:lvlText w:val="•"/>
      <w:lvlJc w:val="left"/>
      <w:pPr>
        <w:tabs>
          <w:tab w:val="num" w:pos="2880"/>
        </w:tabs>
        <w:ind w:left="2880" w:hanging="360"/>
      </w:pPr>
      <w:rPr>
        <w:rFonts w:ascii="Arial" w:hAnsi="Arial" w:hint="default"/>
      </w:rPr>
    </w:lvl>
    <w:lvl w:ilvl="4" w:tplc="04E418C4" w:tentative="1">
      <w:start w:val="1"/>
      <w:numFmt w:val="bullet"/>
      <w:lvlText w:val="•"/>
      <w:lvlJc w:val="left"/>
      <w:pPr>
        <w:tabs>
          <w:tab w:val="num" w:pos="3600"/>
        </w:tabs>
        <w:ind w:left="3600" w:hanging="360"/>
      </w:pPr>
      <w:rPr>
        <w:rFonts w:ascii="Arial" w:hAnsi="Arial" w:hint="default"/>
      </w:rPr>
    </w:lvl>
    <w:lvl w:ilvl="5" w:tplc="7C3A524C" w:tentative="1">
      <w:start w:val="1"/>
      <w:numFmt w:val="bullet"/>
      <w:lvlText w:val="•"/>
      <w:lvlJc w:val="left"/>
      <w:pPr>
        <w:tabs>
          <w:tab w:val="num" w:pos="4320"/>
        </w:tabs>
        <w:ind w:left="4320" w:hanging="360"/>
      </w:pPr>
      <w:rPr>
        <w:rFonts w:ascii="Arial" w:hAnsi="Arial" w:hint="default"/>
      </w:rPr>
    </w:lvl>
    <w:lvl w:ilvl="6" w:tplc="7F52DF5C" w:tentative="1">
      <w:start w:val="1"/>
      <w:numFmt w:val="bullet"/>
      <w:lvlText w:val="•"/>
      <w:lvlJc w:val="left"/>
      <w:pPr>
        <w:tabs>
          <w:tab w:val="num" w:pos="5040"/>
        </w:tabs>
        <w:ind w:left="5040" w:hanging="360"/>
      </w:pPr>
      <w:rPr>
        <w:rFonts w:ascii="Arial" w:hAnsi="Arial" w:hint="default"/>
      </w:rPr>
    </w:lvl>
    <w:lvl w:ilvl="7" w:tplc="55C4A90C" w:tentative="1">
      <w:start w:val="1"/>
      <w:numFmt w:val="bullet"/>
      <w:lvlText w:val="•"/>
      <w:lvlJc w:val="left"/>
      <w:pPr>
        <w:tabs>
          <w:tab w:val="num" w:pos="5760"/>
        </w:tabs>
        <w:ind w:left="5760" w:hanging="360"/>
      </w:pPr>
      <w:rPr>
        <w:rFonts w:ascii="Arial" w:hAnsi="Arial" w:hint="default"/>
      </w:rPr>
    </w:lvl>
    <w:lvl w:ilvl="8" w:tplc="C6B461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C52317"/>
    <w:multiLevelType w:val="hybridMultilevel"/>
    <w:tmpl w:val="BD1A23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16E66F2"/>
    <w:multiLevelType w:val="hybridMultilevel"/>
    <w:tmpl w:val="72BC25A2"/>
    <w:lvl w:ilvl="0" w:tplc="55D8C920">
      <w:start w:val="1"/>
      <w:numFmt w:val="bullet"/>
      <w:lvlText w:val="-"/>
      <w:lvlJc w:val="left"/>
      <w:pPr>
        <w:ind w:left="720" w:hanging="360"/>
      </w:pPr>
      <w:rPr>
        <w:rFonts w:ascii="Calibri" w:eastAsiaTheme="minorEastAsia"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3E321E5"/>
    <w:multiLevelType w:val="hybridMultilevel"/>
    <w:tmpl w:val="F14213F8"/>
    <w:lvl w:ilvl="0" w:tplc="B88C8884">
      <w:numFmt w:val="bullet"/>
      <w:lvlText w:val="-"/>
      <w:lvlJc w:val="left"/>
      <w:pPr>
        <w:ind w:left="720" w:hanging="360"/>
      </w:pPr>
      <w:rPr>
        <w:rFonts w:ascii="Trebuchet MS" w:eastAsiaTheme="minorHAnsi" w:hAnsi="Trebuchet MS"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164C1D7E"/>
    <w:multiLevelType w:val="hybridMultilevel"/>
    <w:tmpl w:val="25C8ABF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76B20EB"/>
    <w:multiLevelType w:val="hybridMultilevel"/>
    <w:tmpl w:val="165AED28"/>
    <w:lvl w:ilvl="0" w:tplc="100A0017">
      <w:start w:val="1"/>
      <w:numFmt w:val="lowerLetter"/>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7BB2195"/>
    <w:multiLevelType w:val="hybridMultilevel"/>
    <w:tmpl w:val="164CD2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19994644"/>
    <w:multiLevelType w:val="hybridMultilevel"/>
    <w:tmpl w:val="BC4C65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1CCB5B4D"/>
    <w:multiLevelType w:val="hybridMultilevel"/>
    <w:tmpl w:val="E35CFC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0E23A96"/>
    <w:multiLevelType w:val="hybridMultilevel"/>
    <w:tmpl w:val="A24A66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445372C"/>
    <w:multiLevelType w:val="hybridMultilevel"/>
    <w:tmpl w:val="9CB43A36"/>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25E461A0"/>
    <w:multiLevelType w:val="hybridMultilevel"/>
    <w:tmpl w:val="ED4E6B3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2DAE22A5"/>
    <w:multiLevelType w:val="hybridMultilevel"/>
    <w:tmpl w:val="7B167C5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F417D94"/>
    <w:multiLevelType w:val="hybridMultilevel"/>
    <w:tmpl w:val="F51013F6"/>
    <w:lvl w:ilvl="0" w:tplc="55D8C920">
      <w:start w:val="1"/>
      <w:numFmt w:val="bullet"/>
      <w:lvlText w:val="-"/>
      <w:lvlJc w:val="left"/>
      <w:pPr>
        <w:ind w:left="720" w:hanging="360"/>
      </w:pPr>
      <w:rPr>
        <w:rFonts w:ascii="Calibri" w:eastAsiaTheme="minorEastAsia"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2FF1680D"/>
    <w:multiLevelType w:val="hybridMultilevel"/>
    <w:tmpl w:val="7634127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34E90066"/>
    <w:multiLevelType w:val="hybridMultilevel"/>
    <w:tmpl w:val="DDEE6DCC"/>
    <w:lvl w:ilvl="0" w:tplc="100A000D">
      <w:start w:val="1"/>
      <w:numFmt w:val="bullet"/>
      <w:lvlText w:val=""/>
      <w:lvlJc w:val="left"/>
      <w:pPr>
        <w:ind w:left="720" w:hanging="360"/>
      </w:pPr>
      <w:rPr>
        <w:rFonts w:ascii="Wingdings" w:hAnsi="Wingdings" w:hint="default"/>
      </w:rPr>
    </w:lvl>
    <w:lvl w:ilvl="1" w:tplc="100A0017">
      <w:start w:val="1"/>
      <w:numFmt w:val="lowerLetter"/>
      <w:lvlText w:val="%2)"/>
      <w:lvlJc w:val="left"/>
      <w:pPr>
        <w:ind w:left="1440" w:hanging="360"/>
      </w:pPr>
      <w:rPr>
        <w:rFont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74F0FCA"/>
    <w:multiLevelType w:val="hybridMultilevel"/>
    <w:tmpl w:val="2A3A81FE"/>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38612819"/>
    <w:multiLevelType w:val="hybridMultilevel"/>
    <w:tmpl w:val="1FD0F05A"/>
    <w:lvl w:ilvl="0" w:tplc="3FC0280C">
      <w:start w:val="1"/>
      <w:numFmt w:val="decimal"/>
      <w:lvlText w:val="%1."/>
      <w:lvlJc w:val="left"/>
      <w:pPr>
        <w:ind w:left="720" w:hanging="360"/>
      </w:pPr>
      <w:rPr>
        <w:rFonts w:asciiTheme="minorHAnsi" w:eastAsiaTheme="minorEastAsia" w:hAnsiTheme="minorHAnsi" w:cstheme="minorBidi"/>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3A3D018D"/>
    <w:multiLevelType w:val="hybridMultilevel"/>
    <w:tmpl w:val="9076AC5C"/>
    <w:lvl w:ilvl="0" w:tplc="474E0C8C">
      <w:start w:val="1"/>
      <w:numFmt w:val="bullet"/>
      <w:lvlText w:val=""/>
      <w:lvlPicBulletId w:val="0"/>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3A7D02FC"/>
    <w:multiLevelType w:val="hybridMultilevel"/>
    <w:tmpl w:val="624EE9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10B730C"/>
    <w:multiLevelType w:val="hybridMultilevel"/>
    <w:tmpl w:val="261098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B2D33DD"/>
    <w:multiLevelType w:val="hybridMultilevel"/>
    <w:tmpl w:val="A4D611A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F177DEC"/>
    <w:multiLevelType w:val="hybridMultilevel"/>
    <w:tmpl w:val="C1A09E48"/>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5175337E"/>
    <w:multiLevelType w:val="hybridMultilevel"/>
    <w:tmpl w:val="0F14B6F0"/>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5617664D"/>
    <w:multiLevelType w:val="hybridMultilevel"/>
    <w:tmpl w:val="A8DA535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576A404B"/>
    <w:multiLevelType w:val="hybridMultilevel"/>
    <w:tmpl w:val="5E2088B4"/>
    <w:lvl w:ilvl="0" w:tplc="0728EB6E">
      <w:start w:val="1"/>
      <w:numFmt w:val="bullet"/>
      <w:lvlText w:val="•"/>
      <w:lvlJc w:val="left"/>
      <w:pPr>
        <w:tabs>
          <w:tab w:val="num" w:pos="720"/>
        </w:tabs>
        <w:ind w:left="720" w:hanging="360"/>
      </w:pPr>
      <w:rPr>
        <w:rFonts w:ascii="Arial" w:hAnsi="Arial" w:hint="default"/>
      </w:rPr>
    </w:lvl>
    <w:lvl w:ilvl="1" w:tplc="9F1803FA" w:tentative="1">
      <w:start w:val="1"/>
      <w:numFmt w:val="bullet"/>
      <w:lvlText w:val="•"/>
      <w:lvlJc w:val="left"/>
      <w:pPr>
        <w:tabs>
          <w:tab w:val="num" w:pos="1440"/>
        </w:tabs>
        <w:ind w:left="1440" w:hanging="360"/>
      </w:pPr>
      <w:rPr>
        <w:rFonts w:ascii="Arial" w:hAnsi="Arial" w:hint="default"/>
      </w:rPr>
    </w:lvl>
    <w:lvl w:ilvl="2" w:tplc="C9B606A0" w:tentative="1">
      <w:start w:val="1"/>
      <w:numFmt w:val="bullet"/>
      <w:lvlText w:val="•"/>
      <w:lvlJc w:val="left"/>
      <w:pPr>
        <w:tabs>
          <w:tab w:val="num" w:pos="2160"/>
        </w:tabs>
        <w:ind w:left="2160" w:hanging="360"/>
      </w:pPr>
      <w:rPr>
        <w:rFonts w:ascii="Arial" w:hAnsi="Arial" w:hint="default"/>
      </w:rPr>
    </w:lvl>
    <w:lvl w:ilvl="3" w:tplc="999EED26" w:tentative="1">
      <w:start w:val="1"/>
      <w:numFmt w:val="bullet"/>
      <w:lvlText w:val="•"/>
      <w:lvlJc w:val="left"/>
      <w:pPr>
        <w:tabs>
          <w:tab w:val="num" w:pos="2880"/>
        </w:tabs>
        <w:ind w:left="2880" w:hanging="360"/>
      </w:pPr>
      <w:rPr>
        <w:rFonts w:ascii="Arial" w:hAnsi="Arial" w:hint="default"/>
      </w:rPr>
    </w:lvl>
    <w:lvl w:ilvl="4" w:tplc="71DC5D98" w:tentative="1">
      <w:start w:val="1"/>
      <w:numFmt w:val="bullet"/>
      <w:lvlText w:val="•"/>
      <w:lvlJc w:val="left"/>
      <w:pPr>
        <w:tabs>
          <w:tab w:val="num" w:pos="3600"/>
        </w:tabs>
        <w:ind w:left="3600" w:hanging="360"/>
      </w:pPr>
      <w:rPr>
        <w:rFonts w:ascii="Arial" w:hAnsi="Arial" w:hint="default"/>
      </w:rPr>
    </w:lvl>
    <w:lvl w:ilvl="5" w:tplc="27BCD1D6" w:tentative="1">
      <w:start w:val="1"/>
      <w:numFmt w:val="bullet"/>
      <w:lvlText w:val="•"/>
      <w:lvlJc w:val="left"/>
      <w:pPr>
        <w:tabs>
          <w:tab w:val="num" w:pos="4320"/>
        </w:tabs>
        <w:ind w:left="4320" w:hanging="360"/>
      </w:pPr>
      <w:rPr>
        <w:rFonts w:ascii="Arial" w:hAnsi="Arial" w:hint="default"/>
      </w:rPr>
    </w:lvl>
    <w:lvl w:ilvl="6" w:tplc="95B4C0DE" w:tentative="1">
      <w:start w:val="1"/>
      <w:numFmt w:val="bullet"/>
      <w:lvlText w:val="•"/>
      <w:lvlJc w:val="left"/>
      <w:pPr>
        <w:tabs>
          <w:tab w:val="num" w:pos="5040"/>
        </w:tabs>
        <w:ind w:left="5040" w:hanging="360"/>
      </w:pPr>
      <w:rPr>
        <w:rFonts w:ascii="Arial" w:hAnsi="Arial" w:hint="default"/>
      </w:rPr>
    </w:lvl>
    <w:lvl w:ilvl="7" w:tplc="B32EA33A" w:tentative="1">
      <w:start w:val="1"/>
      <w:numFmt w:val="bullet"/>
      <w:lvlText w:val="•"/>
      <w:lvlJc w:val="left"/>
      <w:pPr>
        <w:tabs>
          <w:tab w:val="num" w:pos="5760"/>
        </w:tabs>
        <w:ind w:left="5760" w:hanging="360"/>
      </w:pPr>
      <w:rPr>
        <w:rFonts w:ascii="Arial" w:hAnsi="Arial" w:hint="default"/>
      </w:rPr>
    </w:lvl>
    <w:lvl w:ilvl="8" w:tplc="9996905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7201F4"/>
    <w:multiLevelType w:val="hybridMultilevel"/>
    <w:tmpl w:val="1BE0A056"/>
    <w:lvl w:ilvl="0" w:tplc="866207D0">
      <w:start w:val="1"/>
      <w:numFmt w:val="bullet"/>
      <w:lvlText w:val="•"/>
      <w:lvlJc w:val="left"/>
      <w:pPr>
        <w:tabs>
          <w:tab w:val="num" w:pos="720"/>
        </w:tabs>
        <w:ind w:left="720" w:hanging="360"/>
      </w:pPr>
      <w:rPr>
        <w:rFonts w:ascii="Arial" w:hAnsi="Arial" w:hint="default"/>
      </w:rPr>
    </w:lvl>
    <w:lvl w:ilvl="1" w:tplc="366410A2" w:tentative="1">
      <w:start w:val="1"/>
      <w:numFmt w:val="bullet"/>
      <w:lvlText w:val="•"/>
      <w:lvlJc w:val="left"/>
      <w:pPr>
        <w:tabs>
          <w:tab w:val="num" w:pos="1440"/>
        </w:tabs>
        <w:ind w:left="1440" w:hanging="360"/>
      </w:pPr>
      <w:rPr>
        <w:rFonts w:ascii="Arial" w:hAnsi="Arial" w:hint="default"/>
      </w:rPr>
    </w:lvl>
    <w:lvl w:ilvl="2" w:tplc="82B6E054" w:tentative="1">
      <w:start w:val="1"/>
      <w:numFmt w:val="bullet"/>
      <w:lvlText w:val="•"/>
      <w:lvlJc w:val="left"/>
      <w:pPr>
        <w:tabs>
          <w:tab w:val="num" w:pos="2160"/>
        </w:tabs>
        <w:ind w:left="2160" w:hanging="360"/>
      </w:pPr>
      <w:rPr>
        <w:rFonts w:ascii="Arial" w:hAnsi="Arial" w:hint="default"/>
      </w:rPr>
    </w:lvl>
    <w:lvl w:ilvl="3" w:tplc="A6BAA6E2" w:tentative="1">
      <w:start w:val="1"/>
      <w:numFmt w:val="bullet"/>
      <w:lvlText w:val="•"/>
      <w:lvlJc w:val="left"/>
      <w:pPr>
        <w:tabs>
          <w:tab w:val="num" w:pos="2880"/>
        </w:tabs>
        <w:ind w:left="2880" w:hanging="360"/>
      </w:pPr>
      <w:rPr>
        <w:rFonts w:ascii="Arial" w:hAnsi="Arial" w:hint="default"/>
      </w:rPr>
    </w:lvl>
    <w:lvl w:ilvl="4" w:tplc="B2526904" w:tentative="1">
      <w:start w:val="1"/>
      <w:numFmt w:val="bullet"/>
      <w:lvlText w:val="•"/>
      <w:lvlJc w:val="left"/>
      <w:pPr>
        <w:tabs>
          <w:tab w:val="num" w:pos="3600"/>
        </w:tabs>
        <w:ind w:left="3600" w:hanging="360"/>
      </w:pPr>
      <w:rPr>
        <w:rFonts w:ascii="Arial" w:hAnsi="Arial" w:hint="default"/>
      </w:rPr>
    </w:lvl>
    <w:lvl w:ilvl="5" w:tplc="19D421EE" w:tentative="1">
      <w:start w:val="1"/>
      <w:numFmt w:val="bullet"/>
      <w:lvlText w:val="•"/>
      <w:lvlJc w:val="left"/>
      <w:pPr>
        <w:tabs>
          <w:tab w:val="num" w:pos="4320"/>
        </w:tabs>
        <w:ind w:left="4320" w:hanging="360"/>
      </w:pPr>
      <w:rPr>
        <w:rFonts w:ascii="Arial" w:hAnsi="Arial" w:hint="default"/>
      </w:rPr>
    </w:lvl>
    <w:lvl w:ilvl="6" w:tplc="0CA0B540" w:tentative="1">
      <w:start w:val="1"/>
      <w:numFmt w:val="bullet"/>
      <w:lvlText w:val="•"/>
      <w:lvlJc w:val="left"/>
      <w:pPr>
        <w:tabs>
          <w:tab w:val="num" w:pos="5040"/>
        </w:tabs>
        <w:ind w:left="5040" w:hanging="360"/>
      </w:pPr>
      <w:rPr>
        <w:rFonts w:ascii="Arial" w:hAnsi="Arial" w:hint="default"/>
      </w:rPr>
    </w:lvl>
    <w:lvl w:ilvl="7" w:tplc="E80A68A8" w:tentative="1">
      <w:start w:val="1"/>
      <w:numFmt w:val="bullet"/>
      <w:lvlText w:val="•"/>
      <w:lvlJc w:val="left"/>
      <w:pPr>
        <w:tabs>
          <w:tab w:val="num" w:pos="5760"/>
        </w:tabs>
        <w:ind w:left="5760" w:hanging="360"/>
      </w:pPr>
      <w:rPr>
        <w:rFonts w:ascii="Arial" w:hAnsi="Arial" w:hint="default"/>
      </w:rPr>
    </w:lvl>
    <w:lvl w:ilvl="8" w:tplc="9704F48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DC34E36"/>
    <w:multiLevelType w:val="hybridMultilevel"/>
    <w:tmpl w:val="E6E2F6B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66995068"/>
    <w:multiLevelType w:val="hybridMultilevel"/>
    <w:tmpl w:val="F82C4426"/>
    <w:lvl w:ilvl="0" w:tplc="100A0001">
      <w:start w:val="1"/>
      <w:numFmt w:val="bullet"/>
      <w:lvlText w:val=""/>
      <w:lvlJc w:val="left"/>
      <w:pPr>
        <w:ind w:left="1077" w:hanging="360"/>
      </w:pPr>
      <w:rPr>
        <w:rFonts w:ascii="Symbol" w:hAnsi="Symbol" w:hint="default"/>
      </w:rPr>
    </w:lvl>
    <w:lvl w:ilvl="1" w:tplc="100A0003" w:tentative="1">
      <w:start w:val="1"/>
      <w:numFmt w:val="bullet"/>
      <w:lvlText w:val="o"/>
      <w:lvlJc w:val="left"/>
      <w:pPr>
        <w:ind w:left="1797" w:hanging="360"/>
      </w:pPr>
      <w:rPr>
        <w:rFonts w:ascii="Courier New" w:hAnsi="Courier New" w:cs="Courier New" w:hint="default"/>
      </w:rPr>
    </w:lvl>
    <w:lvl w:ilvl="2" w:tplc="100A0005" w:tentative="1">
      <w:start w:val="1"/>
      <w:numFmt w:val="bullet"/>
      <w:lvlText w:val=""/>
      <w:lvlJc w:val="left"/>
      <w:pPr>
        <w:ind w:left="2517" w:hanging="360"/>
      </w:pPr>
      <w:rPr>
        <w:rFonts w:ascii="Wingdings" w:hAnsi="Wingdings" w:hint="default"/>
      </w:rPr>
    </w:lvl>
    <w:lvl w:ilvl="3" w:tplc="100A0001" w:tentative="1">
      <w:start w:val="1"/>
      <w:numFmt w:val="bullet"/>
      <w:lvlText w:val=""/>
      <w:lvlJc w:val="left"/>
      <w:pPr>
        <w:ind w:left="3237" w:hanging="360"/>
      </w:pPr>
      <w:rPr>
        <w:rFonts w:ascii="Symbol" w:hAnsi="Symbol" w:hint="default"/>
      </w:rPr>
    </w:lvl>
    <w:lvl w:ilvl="4" w:tplc="100A0003" w:tentative="1">
      <w:start w:val="1"/>
      <w:numFmt w:val="bullet"/>
      <w:lvlText w:val="o"/>
      <w:lvlJc w:val="left"/>
      <w:pPr>
        <w:ind w:left="3957" w:hanging="360"/>
      </w:pPr>
      <w:rPr>
        <w:rFonts w:ascii="Courier New" w:hAnsi="Courier New" w:cs="Courier New" w:hint="default"/>
      </w:rPr>
    </w:lvl>
    <w:lvl w:ilvl="5" w:tplc="100A0005" w:tentative="1">
      <w:start w:val="1"/>
      <w:numFmt w:val="bullet"/>
      <w:lvlText w:val=""/>
      <w:lvlJc w:val="left"/>
      <w:pPr>
        <w:ind w:left="4677" w:hanging="360"/>
      </w:pPr>
      <w:rPr>
        <w:rFonts w:ascii="Wingdings" w:hAnsi="Wingdings" w:hint="default"/>
      </w:rPr>
    </w:lvl>
    <w:lvl w:ilvl="6" w:tplc="100A0001" w:tentative="1">
      <w:start w:val="1"/>
      <w:numFmt w:val="bullet"/>
      <w:lvlText w:val=""/>
      <w:lvlJc w:val="left"/>
      <w:pPr>
        <w:ind w:left="5397" w:hanging="360"/>
      </w:pPr>
      <w:rPr>
        <w:rFonts w:ascii="Symbol" w:hAnsi="Symbol" w:hint="default"/>
      </w:rPr>
    </w:lvl>
    <w:lvl w:ilvl="7" w:tplc="100A0003" w:tentative="1">
      <w:start w:val="1"/>
      <w:numFmt w:val="bullet"/>
      <w:lvlText w:val="o"/>
      <w:lvlJc w:val="left"/>
      <w:pPr>
        <w:ind w:left="6117" w:hanging="360"/>
      </w:pPr>
      <w:rPr>
        <w:rFonts w:ascii="Courier New" w:hAnsi="Courier New" w:cs="Courier New" w:hint="default"/>
      </w:rPr>
    </w:lvl>
    <w:lvl w:ilvl="8" w:tplc="100A0005" w:tentative="1">
      <w:start w:val="1"/>
      <w:numFmt w:val="bullet"/>
      <w:lvlText w:val=""/>
      <w:lvlJc w:val="left"/>
      <w:pPr>
        <w:ind w:left="6837" w:hanging="360"/>
      </w:pPr>
      <w:rPr>
        <w:rFonts w:ascii="Wingdings" w:hAnsi="Wingdings" w:hint="default"/>
      </w:rPr>
    </w:lvl>
  </w:abstractNum>
  <w:abstractNum w:abstractNumId="33" w15:restartNumberingAfterBreak="0">
    <w:nsid w:val="69FC296F"/>
    <w:multiLevelType w:val="hybridMultilevel"/>
    <w:tmpl w:val="804076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6B236C2D"/>
    <w:multiLevelType w:val="hybridMultilevel"/>
    <w:tmpl w:val="785271A8"/>
    <w:lvl w:ilvl="0" w:tplc="B88C8884">
      <w:numFmt w:val="bullet"/>
      <w:lvlText w:val="-"/>
      <w:lvlJc w:val="left"/>
      <w:pPr>
        <w:ind w:left="720" w:hanging="360"/>
      </w:pPr>
      <w:rPr>
        <w:rFonts w:ascii="Trebuchet MS" w:eastAsiaTheme="minorHAnsi" w:hAnsi="Trebuchet MS"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75465F3C"/>
    <w:multiLevelType w:val="hybridMultilevel"/>
    <w:tmpl w:val="7F044B9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7A2E1B95"/>
    <w:multiLevelType w:val="multilevel"/>
    <w:tmpl w:val="9F1E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6"/>
  </w:num>
  <w:num w:numId="3">
    <w:abstractNumId w:val="6"/>
  </w:num>
  <w:num w:numId="4">
    <w:abstractNumId w:val="3"/>
  </w:num>
  <w:num w:numId="5">
    <w:abstractNumId w:val="7"/>
  </w:num>
  <w:num w:numId="6">
    <w:abstractNumId w:val="15"/>
  </w:num>
  <w:num w:numId="7">
    <w:abstractNumId w:val="17"/>
  </w:num>
  <w:num w:numId="8">
    <w:abstractNumId w:val="18"/>
  </w:num>
  <w:num w:numId="9">
    <w:abstractNumId w:val="20"/>
  </w:num>
  <w:num w:numId="10">
    <w:abstractNumId w:val="26"/>
  </w:num>
  <w:num w:numId="11">
    <w:abstractNumId w:val="27"/>
  </w:num>
  <w:num w:numId="12">
    <w:abstractNumId w:val="34"/>
  </w:num>
  <w:num w:numId="13">
    <w:abstractNumId w:val="24"/>
  </w:num>
  <w:num w:numId="14">
    <w:abstractNumId w:val="4"/>
  </w:num>
  <w:num w:numId="15">
    <w:abstractNumId w:val="29"/>
  </w:num>
  <w:num w:numId="16">
    <w:abstractNumId w:val="2"/>
  </w:num>
  <w:num w:numId="17">
    <w:abstractNumId w:val="30"/>
  </w:num>
  <w:num w:numId="18">
    <w:abstractNumId w:val="8"/>
  </w:num>
  <w:num w:numId="19">
    <w:abstractNumId w:val="21"/>
  </w:num>
  <w:num w:numId="20">
    <w:abstractNumId w:val="36"/>
  </w:num>
  <w:num w:numId="21">
    <w:abstractNumId w:val="1"/>
  </w:num>
  <w:num w:numId="22">
    <w:abstractNumId w:val="5"/>
  </w:num>
  <w:num w:numId="23">
    <w:abstractNumId w:val="10"/>
  </w:num>
  <w:num w:numId="24">
    <w:abstractNumId w:val="23"/>
  </w:num>
  <w:num w:numId="25">
    <w:abstractNumId w:val="11"/>
  </w:num>
  <w:num w:numId="26">
    <w:abstractNumId w:val="12"/>
  </w:num>
  <w:num w:numId="27">
    <w:abstractNumId w:val="13"/>
  </w:num>
  <w:num w:numId="28">
    <w:abstractNumId w:val="33"/>
  </w:num>
  <w:num w:numId="29">
    <w:abstractNumId w:val="22"/>
  </w:num>
  <w:num w:numId="30">
    <w:abstractNumId w:val="0"/>
  </w:num>
  <w:num w:numId="31">
    <w:abstractNumId w:val="25"/>
  </w:num>
  <w:num w:numId="32">
    <w:abstractNumId w:val="32"/>
  </w:num>
  <w:num w:numId="33">
    <w:abstractNumId w:val="35"/>
  </w:num>
  <w:num w:numId="34">
    <w:abstractNumId w:val="14"/>
  </w:num>
  <w:num w:numId="35">
    <w:abstractNumId w:val="19"/>
  </w:num>
  <w:num w:numId="36">
    <w:abstractNumId w:val="31"/>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25B"/>
    <w:rsid w:val="00001CDE"/>
    <w:rsid w:val="000042A0"/>
    <w:rsid w:val="0000621B"/>
    <w:rsid w:val="000127A6"/>
    <w:rsid w:val="00012885"/>
    <w:rsid w:val="00016AFA"/>
    <w:rsid w:val="000205C3"/>
    <w:rsid w:val="00020F5A"/>
    <w:rsid w:val="0002401D"/>
    <w:rsid w:val="00025FD3"/>
    <w:rsid w:val="00027D12"/>
    <w:rsid w:val="000313DD"/>
    <w:rsid w:val="00031F42"/>
    <w:rsid w:val="000347A0"/>
    <w:rsid w:val="00034D6D"/>
    <w:rsid w:val="000351B7"/>
    <w:rsid w:val="0003663A"/>
    <w:rsid w:val="000379F7"/>
    <w:rsid w:val="00040E8A"/>
    <w:rsid w:val="000412ED"/>
    <w:rsid w:val="000421A9"/>
    <w:rsid w:val="00042823"/>
    <w:rsid w:val="00044771"/>
    <w:rsid w:val="00044C27"/>
    <w:rsid w:val="00044C77"/>
    <w:rsid w:val="00045229"/>
    <w:rsid w:val="000453A7"/>
    <w:rsid w:val="00046DB8"/>
    <w:rsid w:val="000478AA"/>
    <w:rsid w:val="00054D12"/>
    <w:rsid w:val="00055D4C"/>
    <w:rsid w:val="00057BE4"/>
    <w:rsid w:val="00060138"/>
    <w:rsid w:val="00060295"/>
    <w:rsid w:val="00062407"/>
    <w:rsid w:val="000627AE"/>
    <w:rsid w:val="0006651B"/>
    <w:rsid w:val="000665CA"/>
    <w:rsid w:val="000729FB"/>
    <w:rsid w:val="00074D2F"/>
    <w:rsid w:val="00075522"/>
    <w:rsid w:val="000768E8"/>
    <w:rsid w:val="0008052B"/>
    <w:rsid w:val="00080ACD"/>
    <w:rsid w:val="00080BFC"/>
    <w:rsid w:val="0008491A"/>
    <w:rsid w:val="00085243"/>
    <w:rsid w:val="0008760C"/>
    <w:rsid w:val="0009082F"/>
    <w:rsid w:val="00092F21"/>
    <w:rsid w:val="00093DB0"/>
    <w:rsid w:val="00094499"/>
    <w:rsid w:val="000948BC"/>
    <w:rsid w:val="00096845"/>
    <w:rsid w:val="000A324E"/>
    <w:rsid w:val="000A3511"/>
    <w:rsid w:val="000A4880"/>
    <w:rsid w:val="000A7FB0"/>
    <w:rsid w:val="000B0A09"/>
    <w:rsid w:val="000B19C1"/>
    <w:rsid w:val="000B2BFB"/>
    <w:rsid w:val="000B3ACD"/>
    <w:rsid w:val="000B7B3C"/>
    <w:rsid w:val="000C0174"/>
    <w:rsid w:val="000C026C"/>
    <w:rsid w:val="000C0FB5"/>
    <w:rsid w:val="000C164A"/>
    <w:rsid w:val="000C59DC"/>
    <w:rsid w:val="000C6710"/>
    <w:rsid w:val="000D210C"/>
    <w:rsid w:val="000D22C0"/>
    <w:rsid w:val="000D41A1"/>
    <w:rsid w:val="000E7415"/>
    <w:rsid w:val="000E7485"/>
    <w:rsid w:val="000E7E35"/>
    <w:rsid w:val="000F0DEB"/>
    <w:rsid w:val="000F401D"/>
    <w:rsid w:val="000F5CE1"/>
    <w:rsid w:val="000F61C9"/>
    <w:rsid w:val="00103A96"/>
    <w:rsid w:val="0010427C"/>
    <w:rsid w:val="00105D6B"/>
    <w:rsid w:val="00107C7B"/>
    <w:rsid w:val="001130ED"/>
    <w:rsid w:val="00115F4E"/>
    <w:rsid w:val="00117953"/>
    <w:rsid w:val="001210C1"/>
    <w:rsid w:val="00121746"/>
    <w:rsid w:val="00124F8B"/>
    <w:rsid w:val="00130EF2"/>
    <w:rsid w:val="00130FD1"/>
    <w:rsid w:val="00131E24"/>
    <w:rsid w:val="00133841"/>
    <w:rsid w:val="00135712"/>
    <w:rsid w:val="00140073"/>
    <w:rsid w:val="00140154"/>
    <w:rsid w:val="00142962"/>
    <w:rsid w:val="00145D1E"/>
    <w:rsid w:val="0015107B"/>
    <w:rsid w:val="00152A2F"/>
    <w:rsid w:val="00155165"/>
    <w:rsid w:val="0015562C"/>
    <w:rsid w:val="00157379"/>
    <w:rsid w:val="00162F0C"/>
    <w:rsid w:val="0016422B"/>
    <w:rsid w:val="00171C4E"/>
    <w:rsid w:val="00171C78"/>
    <w:rsid w:val="00175626"/>
    <w:rsid w:val="0017640D"/>
    <w:rsid w:val="0018061A"/>
    <w:rsid w:val="00186F56"/>
    <w:rsid w:val="00186FFF"/>
    <w:rsid w:val="001906ED"/>
    <w:rsid w:val="00191BC3"/>
    <w:rsid w:val="00192B0C"/>
    <w:rsid w:val="001965BF"/>
    <w:rsid w:val="001A0088"/>
    <w:rsid w:val="001A2115"/>
    <w:rsid w:val="001A24A9"/>
    <w:rsid w:val="001A2A48"/>
    <w:rsid w:val="001A3984"/>
    <w:rsid w:val="001A53A2"/>
    <w:rsid w:val="001A5404"/>
    <w:rsid w:val="001A67EC"/>
    <w:rsid w:val="001A726A"/>
    <w:rsid w:val="001A7A31"/>
    <w:rsid w:val="001B016C"/>
    <w:rsid w:val="001B025B"/>
    <w:rsid w:val="001B212E"/>
    <w:rsid w:val="001B2C93"/>
    <w:rsid w:val="001B5DFA"/>
    <w:rsid w:val="001B74DD"/>
    <w:rsid w:val="001B7636"/>
    <w:rsid w:val="001B7B93"/>
    <w:rsid w:val="001B7DC2"/>
    <w:rsid w:val="001C5386"/>
    <w:rsid w:val="001C6121"/>
    <w:rsid w:val="001C6D1F"/>
    <w:rsid w:val="001C6F34"/>
    <w:rsid w:val="001D1266"/>
    <w:rsid w:val="001D25F0"/>
    <w:rsid w:val="001D52F7"/>
    <w:rsid w:val="001E3CEC"/>
    <w:rsid w:val="001E4C8C"/>
    <w:rsid w:val="001E69CF"/>
    <w:rsid w:val="001E6F56"/>
    <w:rsid w:val="001F1736"/>
    <w:rsid w:val="001F3128"/>
    <w:rsid w:val="001F3F12"/>
    <w:rsid w:val="001F3FEA"/>
    <w:rsid w:val="001F4975"/>
    <w:rsid w:val="001F56CA"/>
    <w:rsid w:val="001F6D4F"/>
    <w:rsid w:val="001F72BC"/>
    <w:rsid w:val="002018FE"/>
    <w:rsid w:val="002059B9"/>
    <w:rsid w:val="00210522"/>
    <w:rsid w:val="00210A1F"/>
    <w:rsid w:val="00211369"/>
    <w:rsid w:val="0021167B"/>
    <w:rsid w:val="00211851"/>
    <w:rsid w:val="0021407F"/>
    <w:rsid w:val="002145AA"/>
    <w:rsid w:val="00214C9D"/>
    <w:rsid w:val="00217100"/>
    <w:rsid w:val="002177B7"/>
    <w:rsid w:val="00221567"/>
    <w:rsid w:val="0022419E"/>
    <w:rsid w:val="002248C8"/>
    <w:rsid w:val="0023060E"/>
    <w:rsid w:val="0023634B"/>
    <w:rsid w:val="00241764"/>
    <w:rsid w:val="00241F1C"/>
    <w:rsid w:val="00243F42"/>
    <w:rsid w:val="00244FD4"/>
    <w:rsid w:val="00246CD4"/>
    <w:rsid w:val="00251089"/>
    <w:rsid w:val="00253108"/>
    <w:rsid w:val="00254815"/>
    <w:rsid w:val="00254B5D"/>
    <w:rsid w:val="00255DD7"/>
    <w:rsid w:val="00257AC3"/>
    <w:rsid w:val="00261354"/>
    <w:rsid w:val="0026593E"/>
    <w:rsid w:val="00277347"/>
    <w:rsid w:val="002818A4"/>
    <w:rsid w:val="002822BD"/>
    <w:rsid w:val="00285070"/>
    <w:rsid w:val="002868F2"/>
    <w:rsid w:val="00287E34"/>
    <w:rsid w:val="00290ED5"/>
    <w:rsid w:val="00291BB6"/>
    <w:rsid w:val="00295994"/>
    <w:rsid w:val="002A01A8"/>
    <w:rsid w:val="002A4F23"/>
    <w:rsid w:val="002B1931"/>
    <w:rsid w:val="002B2448"/>
    <w:rsid w:val="002B4CAB"/>
    <w:rsid w:val="002B6940"/>
    <w:rsid w:val="002C124A"/>
    <w:rsid w:val="002C55B9"/>
    <w:rsid w:val="002D00E6"/>
    <w:rsid w:val="002D0823"/>
    <w:rsid w:val="002D0E9E"/>
    <w:rsid w:val="002D115B"/>
    <w:rsid w:val="002D11FA"/>
    <w:rsid w:val="002D2617"/>
    <w:rsid w:val="002D49B4"/>
    <w:rsid w:val="002D5093"/>
    <w:rsid w:val="002D79AA"/>
    <w:rsid w:val="002E3FEB"/>
    <w:rsid w:val="002E6CBF"/>
    <w:rsid w:val="002F1409"/>
    <w:rsid w:val="002F1A18"/>
    <w:rsid w:val="002F1EF8"/>
    <w:rsid w:val="002F27F8"/>
    <w:rsid w:val="002F58B8"/>
    <w:rsid w:val="002F6339"/>
    <w:rsid w:val="002F767C"/>
    <w:rsid w:val="002F76C6"/>
    <w:rsid w:val="002F7C61"/>
    <w:rsid w:val="003016FF"/>
    <w:rsid w:val="0030326B"/>
    <w:rsid w:val="00305CBE"/>
    <w:rsid w:val="0030622E"/>
    <w:rsid w:val="00311462"/>
    <w:rsid w:val="0031270F"/>
    <w:rsid w:val="0031285E"/>
    <w:rsid w:val="00315149"/>
    <w:rsid w:val="00320226"/>
    <w:rsid w:val="003209CD"/>
    <w:rsid w:val="00321090"/>
    <w:rsid w:val="0032406F"/>
    <w:rsid w:val="003249B6"/>
    <w:rsid w:val="00324E81"/>
    <w:rsid w:val="0032626C"/>
    <w:rsid w:val="00326471"/>
    <w:rsid w:val="00326B19"/>
    <w:rsid w:val="00331313"/>
    <w:rsid w:val="00334575"/>
    <w:rsid w:val="003404C5"/>
    <w:rsid w:val="00341136"/>
    <w:rsid w:val="003434F1"/>
    <w:rsid w:val="00346DC4"/>
    <w:rsid w:val="003503F5"/>
    <w:rsid w:val="00350BB9"/>
    <w:rsid w:val="00351274"/>
    <w:rsid w:val="003519B1"/>
    <w:rsid w:val="00353AC1"/>
    <w:rsid w:val="003575B4"/>
    <w:rsid w:val="003608E6"/>
    <w:rsid w:val="003614C4"/>
    <w:rsid w:val="00362036"/>
    <w:rsid w:val="00362B2F"/>
    <w:rsid w:val="00363119"/>
    <w:rsid w:val="00365DA9"/>
    <w:rsid w:val="0036685A"/>
    <w:rsid w:val="003733B3"/>
    <w:rsid w:val="00374CFA"/>
    <w:rsid w:val="003757C6"/>
    <w:rsid w:val="00375EFD"/>
    <w:rsid w:val="00377A0C"/>
    <w:rsid w:val="00382A38"/>
    <w:rsid w:val="00384FAD"/>
    <w:rsid w:val="0039336F"/>
    <w:rsid w:val="00396A41"/>
    <w:rsid w:val="003A0AAE"/>
    <w:rsid w:val="003A65CE"/>
    <w:rsid w:val="003B24C9"/>
    <w:rsid w:val="003B3C89"/>
    <w:rsid w:val="003B4B43"/>
    <w:rsid w:val="003B6543"/>
    <w:rsid w:val="003B66A9"/>
    <w:rsid w:val="003B679A"/>
    <w:rsid w:val="003C18F6"/>
    <w:rsid w:val="003C2043"/>
    <w:rsid w:val="003C20C9"/>
    <w:rsid w:val="003C231A"/>
    <w:rsid w:val="003C33BA"/>
    <w:rsid w:val="003C39A4"/>
    <w:rsid w:val="003C48DB"/>
    <w:rsid w:val="003C4D32"/>
    <w:rsid w:val="003C76B5"/>
    <w:rsid w:val="003D0A8F"/>
    <w:rsid w:val="003D2BE4"/>
    <w:rsid w:val="003D53E9"/>
    <w:rsid w:val="003D66E2"/>
    <w:rsid w:val="003D79AF"/>
    <w:rsid w:val="003E00CA"/>
    <w:rsid w:val="003E0E61"/>
    <w:rsid w:val="003E163D"/>
    <w:rsid w:val="003E19C3"/>
    <w:rsid w:val="003E794C"/>
    <w:rsid w:val="003F07B3"/>
    <w:rsid w:val="003F1CF9"/>
    <w:rsid w:val="003F48C4"/>
    <w:rsid w:val="003F6956"/>
    <w:rsid w:val="003F7B78"/>
    <w:rsid w:val="003F7EDC"/>
    <w:rsid w:val="00404CFD"/>
    <w:rsid w:val="00407006"/>
    <w:rsid w:val="0040704C"/>
    <w:rsid w:val="004108FB"/>
    <w:rsid w:val="004125BF"/>
    <w:rsid w:val="00414F47"/>
    <w:rsid w:val="00415075"/>
    <w:rsid w:val="004153D5"/>
    <w:rsid w:val="004165F8"/>
    <w:rsid w:val="0042072F"/>
    <w:rsid w:val="00420DEA"/>
    <w:rsid w:val="00421DD5"/>
    <w:rsid w:val="00423263"/>
    <w:rsid w:val="004310FC"/>
    <w:rsid w:val="00431B80"/>
    <w:rsid w:val="004324AE"/>
    <w:rsid w:val="00433A49"/>
    <w:rsid w:val="0043436E"/>
    <w:rsid w:val="00435204"/>
    <w:rsid w:val="00436FBF"/>
    <w:rsid w:val="00437CF5"/>
    <w:rsid w:val="00440794"/>
    <w:rsid w:val="00441F68"/>
    <w:rsid w:val="00442D9B"/>
    <w:rsid w:val="00443AC3"/>
    <w:rsid w:val="004468BF"/>
    <w:rsid w:val="004475FD"/>
    <w:rsid w:val="00450C42"/>
    <w:rsid w:val="00452455"/>
    <w:rsid w:val="00452A2C"/>
    <w:rsid w:val="00452D26"/>
    <w:rsid w:val="00455B2C"/>
    <w:rsid w:val="004570E7"/>
    <w:rsid w:val="00462CA6"/>
    <w:rsid w:val="0046408A"/>
    <w:rsid w:val="00464AD7"/>
    <w:rsid w:val="00465011"/>
    <w:rsid w:val="00466C48"/>
    <w:rsid w:val="00470699"/>
    <w:rsid w:val="004731D6"/>
    <w:rsid w:val="00473535"/>
    <w:rsid w:val="00473831"/>
    <w:rsid w:val="004774D2"/>
    <w:rsid w:val="00481209"/>
    <w:rsid w:val="00487577"/>
    <w:rsid w:val="004917C2"/>
    <w:rsid w:val="004925FE"/>
    <w:rsid w:val="004948C2"/>
    <w:rsid w:val="00496041"/>
    <w:rsid w:val="004A194D"/>
    <w:rsid w:val="004A2403"/>
    <w:rsid w:val="004A3139"/>
    <w:rsid w:val="004A5D5F"/>
    <w:rsid w:val="004A78E3"/>
    <w:rsid w:val="004B3051"/>
    <w:rsid w:val="004B5A5E"/>
    <w:rsid w:val="004C5E65"/>
    <w:rsid w:val="004D0907"/>
    <w:rsid w:val="004D0EB0"/>
    <w:rsid w:val="004D42C5"/>
    <w:rsid w:val="004D5A57"/>
    <w:rsid w:val="004D5D2E"/>
    <w:rsid w:val="004D6822"/>
    <w:rsid w:val="004D7061"/>
    <w:rsid w:val="004D7704"/>
    <w:rsid w:val="004E0CEA"/>
    <w:rsid w:val="004E1732"/>
    <w:rsid w:val="004E2971"/>
    <w:rsid w:val="004E5189"/>
    <w:rsid w:val="004E6C0A"/>
    <w:rsid w:val="004F1197"/>
    <w:rsid w:val="004F3354"/>
    <w:rsid w:val="004F3D27"/>
    <w:rsid w:val="004F404D"/>
    <w:rsid w:val="004F4D60"/>
    <w:rsid w:val="004F5418"/>
    <w:rsid w:val="00505BF9"/>
    <w:rsid w:val="005066AA"/>
    <w:rsid w:val="005079C9"/>
    <w:rsid w:val="00510F6A"/>
    <w:rsid w:val="00511C3E"/>
    <w:rsid w:val="00512735"/>
    <w:rsid w:val="00512DEE"/>
    <w:rsid w:val="005166EE"/>
    <w:rsid w:val="0052099F"/>
    <w:rsid w:val="00520A85"/>
    <w:rsid w:val="00521E9F"/>
    <w:rsid w:val="00522AB1"/>
    <w:rsid w:val="00522B7C"/>
    <w:rsid w:val="00523C9E"/>
    <w:rsid w:val="00525343"/>
    <w:rsid w:val="0052691A"/>
    <w:rsid w:val="005272A9"/>
    <w:rsid w:val="00531CB5"/>
    <w:rsid w:val="0053345B"/>
    <w:rsid w:val="005334D5"/>
    <w:rsid w:val="0053633F"/>
    <w:rsid w:val="005452EA"/>
    <w:rsid w:val="00547525"/>
    <w:rsid w:val="00547877"/>
    <w:rsid w:val="005543F5"/>
    <w:rsid w:val="005557E8"/>
    <w:rsid w:val="005602A3"/>
    <w:rsid w:val="00561331"/>
    <w:rsid w:val="0056145D"/>
    <w:rsid w:val="00562858"/>
    <w:rsid w:val="00562E26"/>
    <w:rsid w:val="00566A7D"/>
    <w:rsid w:val="00566C44"/>
    <w:rsid w:val="00567E57"/>
    <w:rsid w:val="00567FBD"/>
    <w:rsid w:val="00572D4E"/>
    <w:rsid w:val="005737A5"/>
    <w:rsid w:val="00574647"/>
    <w:rsid w:val="00574E9A"/>
    <w:rsid w:val="00577870"/>
    <w:rsid w:val="00577F6F"/>
    <w:rsid w:val="00581805"/>
    <w:rsid w:val="005829BC"/>
    <w:rsid w:val="005834CE"/>
    <w:rsid w:val="0058378B"/>
    <w:rsid w:val="005841BE"/>
    <w:rsid w:val="00590839"/>
    <w:rsid w:val="005930BC"/>
    <w:rsid w:val="00593297"/>
    <w:rsid w:val="005947C3"/>
    <w:rsid w:val="00594AE5"/>
    <w:rsid w:val="00597BC4"/>
    <w:rsid w:val="005A265C"/>
    <w:rsid w:val="005A3A08"/>
    <w:rsid w:val="005A3DC8"/>
    <w:rsid w:val="005A416B"/>
    <w:rsid w:val="005A6A0C"/>
    <w:rsid w:val="005B0500"/>
    <w:rsid w:val="005B235C"/>
    <w:rsid w:val="005B3575"/>
    <w:rsid w:val="005C004C"/>
    <w:rsid w:val="005C0055"/>
    <w:rsid w:val="005C0B85"/>
    <w:rsid w:val="005C19EE"/>
    <w:rsid w:val="005C23F7"/>
    <w:rsid w:val="005C34F5"/>
    <w:rsid w:val="005D2337"/>
    <w:rsid w:val="005D25DC"/>
    <w:rsid w:val="005D29BB"/>
    <w:rsid w:val="005D520A"/>
    <w:rsid w:val="005D58B3"/>
    <w:rsid w:val="005E1B06"/>
    <w:rsid w:val="005E3B01"/>
    <w:rsid w:val="005E5BD2"/>
    <w:rsid w:val="005E7A16"/>
    <w:rsid w:val="005E7AD1"/>
    <w:rsid w:val="005F14FE"/>
    <w:rsid w:val="005F3490"/>
    <w:rsid w:val="005F3A5A"/>
    <w:rsid w:val="005F5CF0"/>
    <w:rsid w:val="005F5CF2"/>
    <w:rsid w:val="005F5ECD"/>
    <w:rsid w:val="00600032"/>
    <w:rsid w:val="00604126"/>
    <w:rsid w:val="006067E1"/>
    <w:rsid w:val="00610EF0"/>
    <w:rsid w:val="0061282B"/>
    <w:rsid w:val="00613AFD"/>
    <w:rsid w:val="0061709B"/>
    <w:rsid w:val="006204E8"/>
    <w:rsid w:val="00621197"/>
    <w:rsid w:val="006222EF"/>
    <w:rsid w:val="0062409F"/>
    <w:rsid w:val="0062595B"/>
    <w:rsid w:val="00626B99"/>
    <w:rsid w:val="00630E47"/>
    <w:rsid w:val="006323EB"/>
    <w:rsid w:val="0063242D"/>
    <w:rsid w:val="00632744"/>
    <w:rsid w:val="00635650"/>
    <w:rsid w:val="00635DD6"/>
    <w:rsid w:val="00643C12"/>
    <w:rsid w:val="00645430"/>
    <w:rsid w:val="00645932"/>
    <w:rsid w:val="00647646"/>
    <w:rsid w:val="006515E6"/>
    <w:rsid w:val="00653381"/>
    <w:rsid w:val="00655223"/>
    <w:rsid w:val="006556B1"/>
    <w:rsid w:val="00655922"/>
    <w:rsid w:val="00662194"/>
    <w:rsid w:val="006625A4"/>
    <w:rsid w:val="00663855"/>
    <w:rsid w:val="0066556B"/>
    <w:rsid w:val="006667E4"/>
    <w:rsid w:val="00667BC2"/>
    <w:rsid w:val="00674E98"/>
    <w:rsid w:val="0067599D"/>
    <w:rsid w:val="006763F4"/>
    <w:rsid w:val="00681B4B"/>
    <w:rsid w:val="00683BE7"/>
    <w:rsid w:val="00687647"/>
    <w:rsid w:val="006904FB"/>
    <w:rsid w:val="0069313F"/>
    <w:rsid w:val="00694C4C"/>
    <w:rsid w:val="00697C1D"/>
    <w:rsid w:val="006A1623"/>
    <w:rsid w:val="006A1EAB"/>
    <w:rsid w:val="006A2AD7"/>
    <w:rsid w:val="006A5020"/>
    <w:rsid w:val="006A6A33"/>
    <w:rsid w:val="006B2B16"/>
    <w:rsid w:val="006B363F"/>
    <w:rsid w:val="006B613D"/>
    <w:rsid w:val="006C0D58"/>
    <w:rsid w:val="006D4265"/>
    <w:rsid w:val="006D5953"/>
    <w:rsid w:val="006D5B74"/>
    <w:rsid w:val="006D7887"/>
    <w:rsid w:val="006E19A5"/>
    <w:rsid w:val="006E1CDD"/>
    <w:rsid w:val="006E1E9B"/>
    <w:rsid w:val="006E4AE0"/>
    <w:rsid w:val="006F1DD0"/>
    <w:rsid w:val="006F63F2"/>
    <w:rsid w:val="006F6A15"/>
    <w:rsid w:val="006F735D"/>
    <w:rsid w:val="006F7CAB"/>
    <w:rsid w:val="00700553"/>
    <w:rsid w:val="0070294C"/>
    <w:rsid w:val="00704D4A"/>
    <w:rsid w:val="00704EAD"/>
    <w:rsid w:val="00705134"/>
    <w:rsid w:val="007076C8"/>
    <w:rsid w:val="007111F0"/>
    <w:rsid w:val="00711DB7"/>
    <w:rsid w:val="00712AED"/>
    <w:rsid w:val="00712B87"/>
    <w:rsid w:val="00712FEA"/>
    <w:rsid w:val="00715798"/>
    <w:rsid w:val="007225F9"/>
    <w:rsid w:val="00722F97"/>
    <w:rsid w:val="0072517C"/>
    <w:rsid w:val="007256AA"/>
    <w:rsid w:val="00727249"/>
    <w:rsid w:val="0072733F"/>
    <w:rsid w:val="0072743B"/>
    <w:rsid w:val="0073175E"/>
    <w:rsid w:val="0073207C"/>
    <w:rsid w:val="0073413F"/>
    <w:rsid w:val="007349B7"/>
    <w:rsid w:val="00735D83"/>
    <w:rsid w:val="00736429"/>
    <w:rsid w:val="00737997"/>
    <w:rsid w:val="00745990"/>
    <w:rsid w:val="00746D73"/>
    <w:rsid w:val="0075261C"/>
    <w:rsid w:val="00753C78"/>
    <w:rsid w:val="00754A2E"/>
    <w:rsid w:val="00757E3C"/>
    <w:rsid w:val="00757E43"/>
    <w:rsid w:val="00757FA9"/>
    <w:rsid w:val="007612F7"/>
    <w:rsid w:val="00761CD2"/>
    <w:rsid w:val="00766305"/>
    <w:rsid w:val="00767A27"/>
    <w:rsid w:val="007727EE"/>
    <w:rsid w:val="00773131"/>
    <w:rsid w:val="007732FC"/>
    <w:rsid w:val="0077399B"/>
    <w:rsid w:val="0078179E"/>
    <w:rsid w:val="00782B65"/>
    <w:rsid w:val="007841F0"/>
    <w:rsid w:val="00784ADA"/>
    <w:rsid w:val="00785FED"/>
    <w:rsid w:val="007878B6"/>
    <w:rsid w:val="007917AF"/>
    <w:rsid w:val="00793501"/>
    <w:rsid w:val="007974B8"/>
    <w:rsid w:val="007A03DD"/>
    <w:rsid w:val="007A03E1"/>
    <w:rsid w:val="007A2268"/>
    <w:rsid w:val="007A4639"/>
    <w:rsid w:val="007A49AB"/>
    <w:rsid w:val="007A4CB7"/>
    <w:rsid w:val="007A55EA"/>
    <w:rsid w:val="007A59D1"/>
    <w:rsid w:val="007A6DFB"/>
    <w:rsid w:val="007B1CCB"/>
    <w:rsid w:val="007B2192"/>
    <w:rsid w:val="007B3B24"/>
    <w:rsid w:val="007B51E5"/>
    <w:rsid w:val="007B565D"/>
    <w:rsid w:val="007B7F30"/>
    <w:rsid w:val="007C05DC"/>
    <w:rsid w:val="007D146E"/>
    <w:rsid w:val="007D3581"/>
    <w:rsid w:val="007D3851"/>
    <w:rsid w:val="007D3BA8"/>
    <w:rsid w:val="007D47CD"/>
    <w:rsid w:val="007D5A5C"/>
    <w:rsid w:val="007D6EBA"/>
    <w:rsid w:val="007D7681"/>
    <w:rsid w:val="007E0A5B"/>
    <w:rsid w:val="007E1990"/>
    <w:rsid w:val="007E2925"/>
    <w:rsid w:val="007E396C"/>
    <w:rsid w:val="007E3DBF"/>
    <w:rsid w:val="007E4A46"/>
    <w:rsid w:val="007E51ED"/>
    <w:rsid w:val="007E71D2"/>
    <w:rsid w:val="007F0419"/>
    <w:rsid w:val="007F05F2"/>
    <w:rsid w:val="007F194B"/>
    <w:rsid w:val="007F46B4"/>
    <w:rsid w:val="0080002E"/>
    <w:rsid w:val="00800955"/>
    <w:rsid w:val="008037C6"/>
    <w:rsid w:val="00804596"/>
    <w:rsid w:val="008064EB"/>
    <w:rsid w:val="008101B9"/>
    <w:rsid w:val="00817998"/>
    <w:rsid w:val="008215A1"/>
    <w:rsid w:val="00821BE4"/>
    <w:rsid w:val="008224E8"/>
    <w:rsid w:val="00826883"/>
    <w:rsid w:val="00826BE4"/>
    <w:rsid w:val="00831E58"/>
    <w:rsid w:val="00832667"/>
    <w:rsid w:val="00832B26"/>
    <w:rsid w:val="00833AB3"/>
    <w:rsid w:val="0083640E"/>
    <w:rsid w:val="00842850"/>
    <w:rsid w:val="008432B5"/>
    <w:rsid w:val="00844245"/>
    <w:rsid w:val="008456B2"/>
    <w:rsid w:val="00846C2C"/>
    <w:rsid w:val="008509F1"/>
    <w:rsid w:val="00850EE2"/>
    <w:rsid w:val="00854704"/>
    <w:rsid w:val="00857873"/>
    <w:rsid w:val="00860DEF"/>
    <w:rsid w:val="00861A58"/>
    <w:rsid w:val="00861DDA"/>
    <w:rsid w:val="00862EA2"/>
    <w:rsid w:val="008637E4"/>
    <w:rsid w:val="008640A4"/>
    <w:rsid w:val="008655A1"/>
    <w:rsid w:val="00865904"/>
    <w:rsid w:val="00885CB4"/>
    <w:rsid w:val="00885CC4"/>
    <w:rsid w:val="00886CC3"/>
    <w:rsid w:val="00887611"/>
    <w:rsid w:val="00887925"/>
    <w:rsid w:val="00887CCA"/>
    <w:rsid w:val="00887E3F"/>
    <w:rsid w:val="008919C5"/>
    <w:rsid w:val="008934B6"/>
    <w:rsid w:val="008955B9"/>
    <w:rsid w:val="008979D2"/>
    <w:rsid w:val="008A110B"/>
    <w:rsid w:val="008A2869"/>
    <w:rsid w:val="008A5FBD"/>
    <w:rsid w:val="008A6C5C"/>
    <w:rsid w:val="008A730A"/>
    <w:rsid w:val="008B092E"/>
    <w:rsid w:val="008B0C9C"/>
    <w:rsid w:val="008B0D72"/>
    <w:rsid w:val="008B312B"/>
    <w:rsid w:val="008B38FF"/>
    <w:rsid w:val="008B59C1"/>
    <w:rsid w:val="008B7C96"/>
    <w:rsid w:val="008C283D"/>
    <w:rsid w:val="008C5214"/>
    <w:rsid w:val="008C566E"/>
    <w:rsid w:val="008C5C73"/>
    <w:rsid w:val="008C610D"/>
    <w:rsid w:val="008C724F"/>
    <w:rsid w:val="008C7570"/>
    <w:rsid w:val="008C7B10"/>
    <w:rsid w:val="008D06E7"/>
    <w:rsid w:val="008D24B7"/>
    <w:rsid w:val="008D3C4A"/>
    <w:rsid w:val="008D5F13"/>
    <w:rsid w:val="008D616B"/>
    <w:rsid w:val="008D6828"/>
    <w:rsid w:val="008D690C"/>
    <w:rsid w:val="008E0D68"/>
    <w:rsid w:val="008E1543"/>
    <w:rsid w:val="008E2AA2"/>
    <w:rsid w:val="008E62D3"/>
    <w:rsid w:val="008F41BF"/>
    <w:rsid w:val="008F75A5"/>
    <w:rsid w:val="00901548"/>
    <w:rsid w:val="009039BA"/>
    <w:rsid w:val="009039CA"/>
    <w:rsid w:val="00904259"/>
    <w:rsid w:val="00906400"/>
    <w:rsid w:val="00906589"/>
    <w:rsid w:val="009112FA"/>
    <w:rsid w:val="00914D99"/>
    <w:rsid w:val="0091599A"/>
    <w:rsid w:val="009250AC"/>
    <w:rsid w:val="00927453"/>
    <w:rsid w:val="009316D2"/>
    <w:rsid w:val="0093274C"/>
    <w:rsid w:val="00934802"/>
    <w:rsid w:val="00937B71"/>
    <w:rsid w:val="009400CF"/>
    <w:rsid w:val="00940684"/>
    <w:rsid w:val="00943EB4"/>
    <w:rsid w:val="00946401"/>
    <w:rsid w:val="00946A9E"/>
    <w:rsid w:val="00950155"/>
    <w:rsid w:val="00953083"/>
    <w:rsid w:val="00953FC8"/>
    <w:rsid w:val="00954801"/>
    <w:rsid w:val="009566E8"/>
    <w:rsid w:val="00956B0A"/>
    <w:rsid w:val="00956C4F"/>
    <w:rsid w:val="009662E5"/>
    <w:rsid w:val="009666E1"/>
    <w:rsid w:val="009678C0"/>
    <w:rsid w:val="00972D5B"/>
    <w:rsid w:val="0097319E"/>
    <w:rsid w:val="009755A5"/>
    <w:rsid w:val="009762BA"/>
    <w:rsid w:val="00976649"/>
    <w:rsid w:val="00977447"/>
    <w:rsid w:val="00980072"/>
    <w:rsid w:val="0098129C"/>
    <w:rsid w:val="0098265B"/>
    <w:rsid w:val="00982F4F"/>
    <w:rsid w:val="00983A35"/>
    <w:rsid w:val="00991709"/>
    <w:rsid w:val="00992213"/>
    <w:rsid w:val="009929A1"/>
    <w:rsid w:val="009960C4"/>
    <w:rsid w:val="00997095"/>
    <w:rsid w:val="009A22FF"/>
    <w:rsid w:val="009A26EE"/>
    <w:rsid w:val="009A2AFC"/>
    <w:rsid w:val="009A3823"/>
    <w:rsid w:val="009A61F6"/>
    <w:rsid w:val="009A6516"/>
    <w:rsid w:val="009A6DF7"/>
    <w:rsid w:val="009A7833"/>
    <w:rsid w:val="009B0DB3"/>
    <w:rsid w:val="009B2027"/>
    <w:rsid w:val="009B2C96"/>
    <w:rsid w:val="009B4046"/>
    <w:rsid w:val="009B4631"/>
    <w:rsid w:val="009B4BED"/>
    <w:rsid w:val="009B6E5C"/>
    <w:rsid w:val="009B6EE9"/>
    <w:rsid w:val="009B6FB4"/>
    <w:rsid w:val="009B70AF"/>
    <w:rsid w:val="009C0473"/>
    <w:rsid w:val="009C1A05"/>
    <w:rsid w:val="009C2D8A"/>
    <w:rsid w:val="009C370D"/>
    <w:rsid w:val="009C3C38"/>
    <w:rsid w:val="009C5832"/>
    <w:rsid w:val="009D1835"/>
    <w:rsid w:val="009D1963"/>
    <w:rsid w:val="009D3570"/>
    <w:rsid w:val="009D5291"/>
    <w:rsid w:val="009D6E57"/>
    <w:rsid w:val="009D6FBA"/>
    <w:rsid w:val="009E2263"/>
    <w:rsid w:val="009E3679"/>
    <w:rsid w:val="009E39F0"/>
    <w:rsid w:val="009E3DBC"/>
    <w:rsid w:val="009E3E92"/>
    <w:rsid w:val="009E56BD"/>
    <w:rsid w:val="009F01FD"/>
    <w:rsid w:val="009F26B2"/>
    <w:rsid w:val="009F3815"/>
    <w:rsid w:val="009F3B9F"/>
    <w:rsid w:val="009F49CC"/>
    <w:rsid w:val="009F52EB"/>
    <w:rsid w:val="00A007A4"/>
    <w:rsid w:val="00A01B9C"/>
    <w:rsid w:val="00A04262"/>
    <w:rsid w:val="00A046E6"/>
    <w:rsid w:val="00A0485A"/>
    <w:rsid w:val="00A04E10"/>
    <w:rsid w:val="00A12011"/>
    <w:rsid w:val="00A2053F"/>
    <w:rsid w:val="00A206E9"/>
    <w:rsid w:val="00A20A6E"/>
    <w:rsid w:val="00A233DF"/>
    <w:rsid w:val="00A244B9"/>
    <w:rsid w:val="00A246F8"/>
    <w:rsid w:val="00A252D9"/>
    <w:rsid w:val="00A2626C"/>
    <w:rsid w:val="00A274B7"/>
    <w:rsid w:val="00A27E66"/>
    <w:rsid w:val="00A31878"/>
    <w:rsid w:val="00A319DD"/>
    <w:rsid w:val="00A325CC"/>
    <w:rsid w:val="00A354AE"/>
    <w:rsid w:val="00A36D5B"/>
    <w:rsid w:val="00A379DC"/>
    <w:rsid w:val="00A410E6"/>
    <w:rsid w:val="00A43041"/>
    <w:rsid w:val="00A447CE"/>
    <w:rsid w:val="00A477B8"/>
    <w:rsid w:val="00A5006C"/>
    <w:rsid w:val="00A50FAF"/>
    <w:rsid w:val="00A5657B"/>
    <w:rsid w:val="00A56742"/>
    <w:rsid w:val="00A57497"/>
    <w:rsid w:val="00A6085C"/>
    <w:rsid w:val="00A62C93"/>
    <w:rsid w:val="00A67EBB"/>
    <w:rsid w:val="00A70162"/>
    <w:rsid w:val="00A70361"/>
    <w:rsid w:val="00A71449"/>
    <w:rsid w:val="00A71B9B"/>
    <w:rsid w:val="00A71C53"/>
    <w:rsid w:val="00A72608"/>
    <w:rsid w:val="00A742DF"/>
    <w:rsid w:val="00A8269F"/>
    <w:rsid w:val="00A82BA7"/>
    <w:rsid w:val="00A87458"/>
    <w:rsid w:val="00A93607"/>
    <w:rsid w:val="00A9694D"/>
    <w:rsid w:val="00AA410C"/>
    <w:rsid w:val="00AA4862"/>
    <w:rsid w:val="00AA5048"/>
    <w:rsid w:val="00AA5280"/>
    <w:rsid w:val="00AA5A2D"/>
    <w:rsid w:val="00AA605E"/>
    <w:rsid w:val="00AB0597"/>
    <w:rsid w:val="00AB10E0"/>
    <w:rsid w:val="00AB26A0"/>
    <w:rsid w:val="00AB546A"/>
    <w:rsid w:val="00AB5DE1"/>
    <w:rsid w:val="00AB7F92"/>
    <w:rsid w:val="00AC4B4D"/>
    <w:rsid w:val="00AD2484"/>
    <w:rsid w:val="00AD4555"/>
    <w:rsid w:val="00AD4CAB"/>
    <w:rsid w:val="00AD5F01"/>
    <w:rsid w:val="00AD72E5"/>
    <w:rsid w:val="00AE0E6D"/>
    <w:rsid w:val="00AE2879"/>
    <w:rsid w:val="00AE3222"/>
    <w:rsid w:val="00AE45A5"/>
    <w:rsid w:val="00AE7D34"/>
    <w:rsid w:val="00AF126F"/>
    <w:rsid w:val="00AF1777"/>
    <w:rsid w:val="00AF2C94"/>
    <w:rsid w:val="00AF5F6E"/>
    <w:rsid w:val="00B028C1"/>
    <w:rsid w:val="00B02BA9"/>
    <w:rsid w:val="00B03611"/>
    <w:rsid w:val="00B03D08"/>
    <w:rsid w:val="00B0750B"/>
    <w:rsid w:val="00B07F35"/>
    <w:rsid w:val="00B106E9"/>
    <w:rsid w:val="00B114BC"/>
    <w:rsid w:val="00B160F0"/>
    <w:rsid w:val="00B166DA"/>
    <w:rsid w:val="00B16C9E"/>
    <w:rsid w:val="00B17C92"/>
    <w:rsid w:val="00B20CD2"/>
    <w:rsid w:val="00B219F7"/>
    <w:rsid w:val="00B24436"/>
    <w:rsid w:val="00B26241"/>
    <w:rsid w:val="00B26A0F"/>
    <w:rsid w:val="00B26FFB"/>
    <w:rsid w:val="00B271D9"/>
    <w:rsid w:val="00B27EFD"/>
    <w:rsid w:val="00B31499"/>
    <w:rsid w:val="00B31D9C"/>
    <w:rsid w:val="00B339FD"/>
    <w:rsid w:val="00B33FD8"/>
    <w:rsid w:val="00B34D13"/>
    <w:rsid w:val="00B34F4B"/>
    <w:rsid w:val="00B365BC"/>
    <w:rsid w:val="00B402B7"/>
    <w:rsid w:val="00B4071A"/>
    <w:rsid w:val="00B42BA2"/>
    <w:rsid w:val="00B4545B"/>
    <w:rsid w:val="00B479F0"/>
    <w:rsid w:val="00B51F3B"/>
    <w:rsid w:val="00B528DE"/>
    <w:rsid w:val="00B557C6"/>
    <w:rsid w:val="00B611B5"/>
    <w:rsid w:val="00B6129A"/>
    <w:rsid w:val="00B6698D"/>
    <w:rsid w:val="00B67057"/>
    <w:rsid w:val="00B67475"/>
    <w:rsid w:val="00B67740"/>
    <w:rsid w:val="00B70E04"/>
    <w:rsid w:val="00B732A7"/>
    <w:rsid w:val="00B75D4B"/>
    <w:rsid w:val="00B75E22"/>
    <w:rsid w:val="00B75F14"/>
    <w:rsid w:val="00B7677C"/>
    <w:rsid w:val="00B8013B"/>
    <w:rsid w:val="00B8081C"/>
    <w:rsid w:val="00B81E28"/>
    <w:rsid w:val="00B8249B"/>
    <w:rsid w:val="00B8483F"/>
    <w:rsid w:val="00B849AE"/>
    <w:rsid w:val="00B84F78"/>
    <w:rsid w:val="00B8512C"/>
    <w:rsid w:val="00B85FC1"/>
    <w:rsid w:val="00B86942"/>
    <w:rsid w:val="00B871C0"/>
    <w:rsid w:val="00B91C73"/>
    <w:rsid w:val="00B921C5"/>
    <w:rsid w:val="00B9357D"/>
    <w:rsid w:val="00B9531D"/>
    <w:rsid w:val="00B9598C"/>
    <w:rsid w:val="00B97624"/>
    <w:rsid w:val="00BA582D"/>
    <w:rsid w:val="00BA682D"/>
    <w:rsid w:val="00BA7099"/>
    <w:rsid w:val="00BA77BA"/>
    <w:rsid w:val="00BB0CEF"/>
    <w:rsid w:val="00BB546C"/>
    <w:rsid w:val="00BB5586"/>
    <w:rsid w:val="00BC0F04"/>
    <w:rsid w:val="00BC2001"/>
    <w:rsid w:val="00BC2B8D"/>
    <w:rsid w:val="00BC47AC"/>
    <w:rsid w:val="00BD1A68"/>
    <w:rsid w:val="00BD1D8E"/>
    <w:rsid w:val="00BD2370"/>
    <w:rsid w:val="00BD39FD"/>
    <w:rsid w:val="00BD6980"/>
    <w:rsid w:val="00BE00FE"/>
    <w:rsid w:val="00BE49F9"/>
    <w:rsid w:val="00BE58E1"/>
    <w:rsid w:val="00BE6836"/>
    <w:rsid w:val="00BE755A"/>
    <w:rsid w:val="00BF03E5"/>
    <w:rsid w:val="00BF4138"/>
    <w:rsid w:val="00BF69FA"/>
    <w:rsid w:val="00C01816"/>
    <w:rsid w:val="00C024BB"/>
    <w:rsid w:val="00C04C88"/>
    <w:rsid w:val="00C04E22"/>
    <w:rsid w:val="00C05F66"/>
    <w:rsid w:val="00C1158A"/>
    <w:rsid w:val="00C122C4"/>
    <w:rsid w:val="00C13A4F"/>
    <w:rsid w:val="00C16F37"/>
    <w:rsid w:val="00C17BEE"/>
    <w:rsid w:val="00C2063D"/>
    <w:rsid w:val="00C20A03"/>
    <w:rsid w:val="00C255BD"/>
    <w:rsid w:val="00C25A7C"/>
    <w:rsid w:val="00C26DCC"/>
    <w:rsid w:val="00C27475"/>
    <w:rsid w:val="00C30022"/>
    <w:rsid w:val="00C327D5"/>
    <w:rsid w:val="00C333AE"/>
    <w:rsid w:val="00C37218"/>
    <w:rsid w:val="00C37968"/>
    <w:rsid w:val="00C379C4"/>
    <w:rsid w:val="00C45FE7"/>
    <w:rsid w:val="00C46F3A"/>
    <w:rsid w:val="00C46FFA"/>
    <w:rsid w:val="00C47926"/>
    <w:rsid w:val="00C516D9"/>
    <w:rsid w:val="00C53F60"/>
    <w:rsid w:val="00C56B5A"/>
    <w:rsid w:val="00C5780E"/>
    <w:rsid w:val="00C62F85"/>
    <w:rsid w:val="00C63A4F"/>
    <w:rsid w:val="00C65FA8"/>
    <w:rsid w:val="00C7064B"/>
    <w:rsid w:val="00C70E24"/>
    <w:rsid w:val="00C72EDB"/>
    <w:rsid w:val="00C753C7"/>
    <w:rsid w:val="00C75C10"/>
    <w:rsid w:val="00C7724E"/>
    <w:rsid w:val="00C77826"/>
    <w:rsid w:val="00C83DB3"/>
    <w:rsid w:val="00C83EE9"/>
    <w:rsid w:val="00C84F5C"/>
    <w:rsid w:val="00C85E60"/>
    <w:rsid w:val="00C869CA"/>
    <w:rsid w:val="00C91E33"/>
    <w:rsid w:val="00C96070"/>
    <w:rsid w:val="00C975E1"/>
    <w:rsid w:val="00CA1696"/>
    <w:rsid w:val="00CA2A53"/>
    <w:rsid w:val="00CA2BA9"/>
    <w:rsid w:val="00CA2DDE"/>
    <w:rsid w:val="00CA4BAE"/>
    <w:rsid w:val="00CA4D1C"/>
    <w:rsid w:val="00CB6A81"/>
    <w:rsid w:val="00CB756E"/>
    <w:rsid w:val="00CC027E"/>
    <w:rsid w:val="00CC4322"/>
    <w:rsid w:val="00CC4493"/>
    <w:rsid w:val="00CC51F1"/>
    <w:rsid w:val="00CD0C4B"/>
    <w:rsid w:val="00CE0516"/>
    <w:rsid w:val="00CE2ECA"/>
    <w:rsid w:val="00CE55EE"/>
    <w:rsid w:val="00CE6773"/>
    <w:rsid w:val="00CE692D"/>
    <w:rsid w:val="00CE6D7E"/>
    <w:rsid w:val="00CE7567"/>
    <w:rsid w:val="00CE7FA7"/>
    <w:rsid w:val="00CF07BD"/>
    <w:rsid w:val="00CF1C23"/>
    <w:rsid w:val="00CF2E32"/>
    <w:rsid w:val="00CF32B8"/>
    <w:rsid w:val="00CF3849"/>
    <w:rsid w:val="00CF3BBD"/>
    <w:rsid w:val="00CF494F"/>
    <w:rsid w:val="00D00096"/>
    <w:rsid w:val="00D00906"/>
    <w:rsid w:val="00D026EC"/>
    <w:rsid w:val="00D04DCD"/>
    <w:rsid w:val="00D105C3"/>
    <w:rsid w:val="00D10F65"/>
    <w:rsid w:val="00D119D9"/>
    <w:rsid w:val="00D15589"/>
    <w:rsid w:val="00D202B6"/>
    <w:rsid w:val="00D2031E"/>
    <w:rsid w:val="00D204E2"/>
    <w:rsid w:val="00D241AD"/>
    <w:rsid w:val="00D26415"/>
    <w:rsid w:val="00D3169D"/>
    <w:rsid w:val="00D31718"/>
    <w:rsid w:val="00D35D74"/>
    <w:rsid w:val="00D36677"/>
    <w:rsid w:val="00D37650"/>
    <w:rsid w:val="00D40DCE"/>
    <w:rsid w:val="00D4204A"/>
    <w:rsid w:val="00D43813"/>
    <w:rsid w:val="00D45F47"/>
    <w:rsid w:val="00D47D6D"/>
    <w:rsid w:val="00D55992"/>
    <w:rsid w:val="00D60A92"/>
    <w:rsid w:val="00D6353F"/>
    <w:rsid w:val="00D63911"/>
    <w:rsid w:val="00D63D26"/>
    <w:rsid w:val="00D642C1"/>
    <w:rsid w:val="00D644CB"/>
    <w:rsid w:val="00D66997"/>
    <w:rsid w:val="00D705C9"/>
    <w:rsid w:val="00D70C94"/>
    <w:rsid w:val="00D70E49"/>
    <w:rsid w:val="00D71645"/>
    <w:rsid w:val="00D72611"/>
    <w:rsid w:val="00D732C1"/>
    <w:rsid w:val="00D74438"/>
    <w:rsid w:val="00D74A3A"/>
    <w:rsid w:val="00D75FFB"/>
    <w:rsid w:val="00D77892"/>
    <w:rsid w:val="00D81B32"/>
    <w:rsid w:val="00D826B8"/>
    <w:rsid w:val="00D82941"/>
    <w:rsid w:val="00D834E3"/>
    <w:rsid w:val="00D84FA3"/>
    <w:rsid w:val="00D86FF9"/>
    <w:rsid w:val="00D95A87"/>
    <w:rsid w:val="00DA1550"/>
    <w:rsid w:val="00DA284B"/>
    <w:rsid w:val="00DA3033"/>
    <w:rsid w:val="00DA53E3"/>
    <w:rsid w:val="00DA71F6"/>
    <w:rsid w:val="00DB34A0"/>
    <w:rsid w:val="00DB473D"/>
    <w:rsid w:val="00DB7473"/>
    <w:rsid w:val="00DB74D8"/>
    <w:rsid w:val="00DC0A3C"/>
    <w:rsid w:val="00DC1714"/>
    <w:rsid w:val="00DC33A8"/>
    <w:rsid w:val="00DC3495"/>
    <w:rsid w:val="00DC36F5"/>
    <w:rsid w:val="00DC3DCE"/>
    <w:rsid w:val="00DC478B"/>
    <w:rsid w:val="00DC5BA1"/>
    <w:rsid w:val="00DD169D"/>
    <w:rsid w:val="00DD1954"/>
    <w:rsid w:val="00DD1B7D"/>
    <w:rsid w:val="00DD1C6F"/>
    <w:rsid w:val="00DD418B"/>
    <w:rsid w:val="00DD5F66"/>
    <w:rsid w:val="00DD6D51"/>
    <w:rsid w:val="00DE5D4C"/>
    <w:rsid w:val="00DE76F8"/>
    <w:rsid w:val="00DF12A5"/>
    <w:rsid w:val="00DF179F"/>
    <w:rsid w:val="00DF1A05"/>
    <w:rsid w:val="00DF1F8E"/>
    <w:rsid w:val="00DF380E"/>
    <w:rsid w:val="00DF4648"/>
    <w:rsid w:val="00DF70D6"/>
    <w:rsid w:val="00E01B0F"/>
    <w:rsid w:val="00E05807"/>
    <w:rsid w:val="00E071D2"/>
    <w:rsid w:val="00E10F1F"/>
    <w:rsid w:val="00E13715"/>
    <w:rsid w:val="00E17A88"/>
    <w:rsid w:val="00E22BFD"/>
    <w:rsid w:val="00E23333"/>
    <w:rsid w:val="00E23ADA"/>
    <w:rsid w:val="00E261D6"/>
    <w:rsid w:val="00E314C8"/>
    <w:rsid w:val="00E314D8"/>
    <w:rsid w:val="00E3246E"/>
    <w:rsid w:val="00E35A3B"/>
    <w:rsid w:val="00E43E9C"/>
    <w:rsid w:val="00E50047"/>
    <w:rsid w:val="00E51281"/>
    <w:rsid w:val="00E518F5"/>
    <w:rsid w:val="00E52202"/>
    <w:rsid w:val="00E53973"/>
    <w:rsid w:val="00E54C35"/>
    <w:rsid w:val="00E55DDB"/>
    <w:rsid w:val="00E607AE"/>
    <w:rsid w:val="00E611E2"/>
    <w:rsid w:val="00E6337B"/>
    <w:rsid w:val="00E644EE"/>
    <w:rsid w:val="00E6606D"/>
    <w:rsid w:val="00E663BF"/>
    <w:rsid w:val="00E70012"/>
    <w:rsid w:val="00E70C77"/>
    <w:rsid w:val="00E722CC"/>
    <w:rsid w:val="00E731C6"/>
    <w:rsid w:val="00E76286"/>
    <w:rsid w:val="00E765CC"/>
    <w:rsid w:val="00E84835"/>
    <w:rsid w:val="00E85A3E"/>
    <w:rsid w:val="00E85B17"/>
    <w:rsid w:val="00E91B86"/>
    <w:rsid w:val="00E91BEC"/>
    <w:rsid w:val="00E91DE7"/>
    <w:rsid w:val="00E921ED"/>
    <w:rsid w:val="00E94669"/>
    <w:rsid w:val="00E94F2D"/>
    <w:rsid w:val="00E97C3B"/>
    <w:rsid w:val="00EA16E0"/>
    <w:rsid w:val="00EA6392"/>
    <w:rsid w:val="00EA71B8"/>
    <w:rsid w:val="00EA728B"/>
    <w:rsid w:val="00EB018A"/>
    <w:rsid w:val="00EB3BFF"/>
    <w:rsid w:val="00EB3EBB"/>
    <w:rsid w:val="00EB468E"/>
    <w:rsid w:val="00EB4C23"/>
    <w:rsid w:val="00EB5BA2"/>
    <w:rsid w:val="00EC5F10"/>
    <w:rsid w:val="00ED0CDF"/>
    <w:rsid w:val="00ED3E36"/>
    <w:rsid w:val="00ED4896"/>
    <w:rsid w:val="00ED4F57"/>
    <w:rsid w:val="00ED7C3F"/>
    <w:rsid w:val="00ED7F50"/>
    <w:rsid w:val="00EE0273"/>
    <w:rsid w:val="00EE1EB0"/>
    <w:rsid w:val="00EE1F28"/>
    <w:rsid w:val="00EE3ABF"/>
    <w:rsid w:val="00EE4C8D"/>
    <w:rsid w:val="00EE5A86"/>
    <w:rsid w:val="00EE75C9"/>
    <w:rsid w:val="00EF2664"/>
    <w:rsid w:val="00EF3413"/>
    <w:rsid w:val="00EF4F89"/>
    <w:rsid w:val="00F00101"/>
    <w:rsid w:val="00F0123A"/>
    <w:rsid w:val="00F037A9"/>
    <w:rsid w:val="00F0552A"/>
    <w:rsid w:val="00F06CC2"/>
    <w:rsid w:val="00F074A1"/>
    <w:rsid w:val="00F10420"/>
    <w:rsid w:val="00F10920"/>
    <w:rsid w:val="00F1274C"/>
    <w:rsid w:val="00F14ABE"/>
    <w:rsid w:val="00F14D27"/>
    <w:rsid w:val="00F20315"/>
    <w:rsid w:val="00F26FD7"/>
    <w:rsid w:val="00F276F0"/>
    <w:rsid w:val="00F30DFF"/>
    <w:rsid w:val="00F33AE5"/>
    <w:rsid w:val="00F34D72"/>
    <w:rsid w:val="00F3664A"/>
    <w:rsid w:val="00F46352"/>
    <w:rsid w:val="00F46A49"/>
    <w:rsid w:val="00F47104"/>
    <w:rsid w:val="00F506E9"/>
    <w:rsid w:val="00F528BF"/>
    <w:rsid w:val="00F5436D"/>
    <w:rsid w:val="00F57113"/>
    <w:rsid w:val="00F6074A"/>
    <w:rsid w:val="00F6255A"/>
    <w:rsid w:val="00F72189"/>
    <w:rsid w:val="00F755B4"/>
    <w:rsid w:val="00F759BC"/>
    <w:rsid w:val="00F777DD"/>
    <w:rsid w:val="00F800B0"/>
    <w:rsid w:val="00F8010E"/>
    <w:rsid w:val="00F8209E"/>
    <w:rsid w:val="00F820DC"/>
    <w:rsid w:val="00F8356C"/>
    <w:rsid w:val="00F843BF"/>
    <w:rsid w:val="00F92D59"/>
    <w:rsid w:val="00F937A4"/>
    <w:rsid w:val="00F93A81"/>
    <w:rsid w:val="00F947C6"/>
    <w:rsid w:val="00F96A91"/>
    <w:rsid w:val="00F96EE5"/>
    <w:rsid w:val="00F97555"/>
    <w:rsid w:val="00F97B9D"/>
    <w:rsid w:val="00FA1350"/>
    <w:rsid w:val="00FA315E"/>
    <w:rsid w:val="00FA424B"/>
    <w:rsid w:val="00FA7629"/>
    <w:rsid w:val="00FA79F3"/>
    <w:rsid w:val="00FA7A8E"/>
    <w:rsid w:val="00FA7E8A"/>
    <w:rsid w:val="00FB2567"/>
    <w:rsid w:val="00FB2E10"/>
    <w:rsid w:val="00FB3424"/>
    <w:rsid w:val="00FB462C"/>
    <w:rsid w:val="00FC028C"/>
    <w:rsid w:val="00FC3079"/>
    <w:rsid w:val="00FC4744"/>
    <w:rsid w:val="00FC5ADD"/>
    <w:rsid w:val="00FC6C16"/>
    <w:rsid w:val="00FC72DB"/>
    <w:rsid w:val="00FD1987"/>
    <w:rsid w:val="00FD5A11"/>
    <w:rsid w:val="00FD660D"/>
    <w:rsid w:val="00FE0250"/>
    <w:rsid w:val="00FE2744"/>
    <w:rsid w:val="00FE339E"/>
    <w:rsid w:val="00FE4A37"/>
    <w:rsid w:val="00FE5B60"/>
    <w:rsid w:val="00FE634C"/>
    <w:rsid w:val="00FF17E6"/>
    <w:rsid w:val="00FF5CA0"/>
    <w:rsid w:val="00FF6042"/>
    <w:rsid w:val="00FF63C0"/>
    <w:rsid w:val="00FF6450"/>
    <w:rsid w:val="00FF70E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F5139"/>
  <w15:docId w15:val="{BD86B23F-C07D-4407-BE29-C038248B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8C8"/>
  </w:style>
  <w:style w:type="paragraph" w:styleId="Ttulo1">
    <w:name w:val="heading 1"/>
    <w:basedOn w:val="Normal"/>
    <w:next w:val="Normal"/>
    <w:link w:val="Ttulo1Car"/>
    <w:autoRedefine/>
    <w:uiPriority w:val="9"/>
    <w:qFormat/>
    <w:rsid w:val="001A67EC"/>
    <w:pPr>
      <w:keepNext/>
      <w:keepLines/>
      <w:shd w:val="clear" w:color="auto" w:fill="0099CC"/>
      <w:spacing w:after="40" w:line="240" w:lineRule="auto"/>
      <w:jc w:val="center"/>
      <w:outlineLvl w:val="0"/>
    </w:pPr>
    <w:rPr>
      <w:rFonts w:ascii="Times New Roman" w:eastAsiaTheme="majorEastAsia" w:hAnsi="Times New Roman" w:cs="Times New Roman"/>
      <w:b/>
      <w:sz w:val="24"/>
      <w:szCs w:val="24"/>
    </w:rPr>
  </w:style>
  <w:style w:type="paragraph" w:styleId="Ttulo2">
    <w:name w:val="heading 2"/>
    <w:basedOn w:val="Normal"/>
    <w:next w:val="Normal"/>
    <w:link w:val="Ttulo2Car"/>
    <w:uiPriority w:val="9"/>
    <w:unhideWhenUsed/>
    <w:qFormat/>
    <w:rsid w:val="005A416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B4071A"/>
    <w:pPr>
      <w:keepNext/>
      <w:keepLines/>
      <w:spacing w:before="40" w:after="0" w:line="240" w:lineRule="auto"/>
      <w:outlineLvl w:val="2"/>
    </w:pPr>
    <w:rPr>
      <w:rFonts w:asciiTheme="majorHAnsi" w:eastAsiaTheme="majorEastAsia" w:hAnsiTheme="majorHAnsi" w:cstheme="majorBidi"/>
      <w:sz w:val="28"/>
      <w:szCs w:val="28"/>
    </w:rPr>
  </w:style>
  <w:style w:type="paragraph" w:styleId="Ttulo4">
    <w:name w:val="heading 4"/>
    <w:basedOn w:val="Normal"/>
    <w:next w:val="Normal"/>
    <w:link w:val="Ttulo4Car"/>
    <w:uiPriority w:val="9"/>
    <w:unhideWhenUsed/>
    <w:qFormat/>
    <w:rsid w:val="003E0E61"/>
    <w:pPr>
      <w:keepNext/>
      <w:keepLines/>
      <w:spacing w:before="40" w:after="0"/>
      <w:ind w:left="708"/>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5A416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5A416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5A416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5A416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5A416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B025B"/>
    <w:rPr>
      <w:color w:val="0563C1" w:themeColor="hyperlink"/>
      <w:u w:val="single"/>
    </w:rPr>
  </w:style>
  <w:style w:type="character" w:styleId="Hipervnculovisitado">
    <w:name w:val="FollowedHyperlink"/>
    <w:basedOn w:val="Fuentedeprrafopredeter"/>
    <w:uiPriority w:val="99"/>
    <w:semiHidden/>
    <w:unhideWhenUsed/>
    <w:rsid w:val="00DF179F"/>
    <w:rPr>
      <w:color w:val="954F72" w:themeColor="followedHyperlink"/>
      <w:u w:val="single"/>
    </w:rPr>
  </w:style>
  <w:style w:type="paragraph" w:styleId="Prrafodelista">
    <w:name w:val="List Paragraph"/>
    <w:basedOn w:val="Normal"/>
    <w:uiPriority w:val="34"/>
    <w:qFormat/>
    <w:rsid w:val="00817998"/>
    <w:pPr>
      <w:ind w:left="720"/>
      <w:contextualSpacing/>
    </w:pPr>
  </w:style>
  <w:style w:type="paragraph" w:styleId="Ttulo">
    <w:name w:val="Title"/>
    <w:basedOn w:val="Normal"/>
    <w:next w:val="Normal"/>
    <w:link w:val="TtuloCar"/>
    <w:uiPriority w:val="10"/>
    <w:qFormat/>
    <w:rsid w:val="005A416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5A416B"/>
    <w:rPr>
      <w:rFonts w:asciiTheme="majorHAnsi" w:eastAsiaTheme="majorEastAsia" w:hAnsiTheme="majorHAnsi" w:cstheme="majorBidi"/>
      <w:caps/>
      <w:color w:val="44546A" w:themeColor="text2"/>
      <w:spacing w:val="-15"/>
      <w:sz w:val="72"/>
      <w:szCs w:val="72"/>
    </w:rPr>
  </w:style>
  <w:style w:type="character" w:customStyle="1" w:styleId="Ttulo2Car">
    <w:name w:val="Título 2 Car"/>
    <w:basedOn w:val="Fuentedeprrafopredeter"/>
    <w:link w:val="Ttulo2"/>
    <w:uiPriority w:val="9"/>
    <w:rsid w:val="005A416B"/>
    <w:rPr>
      <w:rFonts w:asciiTheme="majorHAnsi" w:eastAsiaTheme="majorEastAsia" w:hAnsiTheme="majorHAnsi" w:cstheme="majorBidi"/>
      <w:color w:val="2E74B5" w:themeColor="accent1" w:themeShade="BF"/>
      <w:sz w:val="32"/>
      <w:szCs w:val="32"/>
    </w:rPr>
  </w:style>
  <w:style w:type="character" w:customStyle="1" w:styleId="Ttulo1Car">
    <w:name w:val="Título 1 Car"/>
    <w:basedOn w:val="Fuentedeprrafopredeter"/>
    <w:link w:val="Ttulo1"/>
    <w:uiPriority w:val="9"/>
    <w:rsid w:val="001A67EC"/>
    <w:rPr>
      <w:rFonts w:ascii="Times New Roman" w:eastAsiaTheme="majorEastAsia" w:hAnsi="Times New Roman" w:cs="Times New Roman"/>
      <w:b/>
      <w:sz w:val="24"/>
      <w:szCs w:val="24"/>
      <w:shd w:val="clear" w:color="auto" w:fill="0099CC"/>
    </w:rPr>
  </w:style>
  <w:style w:type="paragraph" w:styleId="Textonotapie">
    <w:name w:val="footnote text"/>
    <w:aliases w:val="Texto nota pie Car Car Car,Texto nota pie Car Car,Footnote Text Char,Footnote Text Char1 Char,Footnote Text Char2 Char Char,Footnote Text Char Char1 Char Char,Footnote Text Char1 Char Char Char Char,Footnote Text Char1 Char1 Char Char,5_G"/>
    <w:basedOn w:val="Normal"/>
    <w:link w:val="TextonotapieCar"/>
    <w:uiPriority w:val="99"/>
    <w:unhideWhenUsed/>
    <w:qFormat/>
    <w:rsid w:val="003C76B5"/>
    <w:pPr>
      <w:spacing w:after="0" w:line="240" w:lineRule="auto"/>
    </w:pPr>
    <w:rPr>
      <w:sz w:val="20"/>
      <w:szCs w:val="20"/>
    </w:rPr>
  </w:style>
  <w:style w:type="character" w:customStyle="1" w:styleId="TextonotapieCar">
    <w:name w:val="Texto nota pie Car"/>
    <w:aliases w:val="Texto nota pie Car Car Car Car,Texto nota pie Car Car Car1,Footnote Text Char Car,Footnote Text Char1 Char Car,Footnote Text Char2 Char Char Car,Footnote Text Char Char1 Char Char Car,Footnote Text Char1 Char Char Char Char Car"/>
    <w:basedOn w:val="Fuentedeprrafopredeter"/>
    <w:link w:val="Textonotapie"/>
    <w:uiPriority w:val="99"/>
    <w:rsid w:val="003C76B5"/>
    <w:rPr>
      <w:sz w:val="20"/>
      <w:szCs w:val="20"/>
    </w:rPr>
  </w:style>
  <w:style w:type="character" w:styleId="Refdenotaalpie">
    <w:name w:val="footnote reference"/>
    <w:aliases w:val="4_G,callout,Fago Fußnotenzeichen,Texto de nota al pie,Appel note de bas de page,Footnotes refss,f,Footnote number,referencia nota al pie,BVI fnr,Footnotes refss Char,Texto de nota al pie Char,Appel note de bas de page Char,4_G Car"/>
    <w:basedOn w:val="Fuentedeprrafopredeter"/>
    <w:link w:val="f1"/>
    <w:uiPriority w:val="99"/>
    <w:unhideWhenUsed/>
    <w:qFormat/>
    <w:rsid w:val="003C76B5"/>
    <w:rPr>
      <w:vertAlign w:val="superscript"/>
    </w:rPr>
  </w:style>
  <w:style w:type="character" w:styleId="Refdecomentario">
    <w:name w:val="annotation reference"/>
    <w:basedOn w:val="Fuentedeprrafopredeter"/>
    <w:uiPriority w:val="99"/>
    <w:semiHidden/>
    <w:unhideWhenUsed/>
    <w:rsid w:val="00F759BC"/>
    <w:rPr>
      <w:sz w:val="16"/>
      <w:szCs w:val="16"/>
    </w:rPr>
  </w:style>
  <w:style w:type="paragraph" w:styleId="Textocomentario">
    <w:name w:val="annotation text"/>
    <w:basedOn w:val="Normal"/>
    <w:link w:val="TextocomentarioCar"/>
    <w:uiPriority w:val="99"/>
    <w:semiHidden/>
    <w:unhideWhenUsed/>
    <w:rsid w:val="00F759BC"/>
    <w:pPr>
      <w:spacing w:after="0" w:line="240" w:lineRule="auto"/>
    </w:pPr>
    <w:rPr>
      <w:rFonts w:ascii="Calibri" w:hAnsi="Calibri" w:cs="Times New Roman"/>
      <w:sz w:val="20"/>
      <w:szCs w:val="20"/>
    </w:rPr>
  </w:style>
  <w:style w:type="character" w:customStyle="1" w:styleId="TextocomentarioCar">
    <w:name w:val="Texto comentario Car"/>
    <w:basedOn w:val="Fuentedeprrafopredeter"/>
    <w:link w:val="Textocomentario"/>
    <w:uiPriority w:val="99"/>
    <w:semiHidden/>
    <w:rsid w:val="00F759BC"/>
    <w:rPr>
      <w:rFonts w:ascii="Calibri" w:hAnsi="Calibri" w:cs="Times New Roman"/>
      <w:sz w:val="20"/>
      <w:szCs w:val="20"/>
    </w:rPr>
  </w:style>
  <w:style w:type="paragraph" w:styleId="Textodeglobo">
    <w:name w:val="Balloon Text"/>
    <w:basedOn w:val="Normal"/>
    <w:link w:val="TextodegloboCar"/>
    <w:uiPriority w:val="99"/>
    <w:semiHidden/>
    <w:unhideWhenUsed/>
    <w:rsid w:val="00F759B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59BC"/>
    <w:rPr>
      <w:rFonts w:ascii="Segoe UI" w:hAnsi="Segoe UI" w:cs="Segoe UI"/>
      <w:sz w:val="18"/>
      <w:szCs w:val="18"/>
    </w:rPr>
  </w:style>
  <w:style w:type="character" w:customStyle="1" w:styleId="Ttulo3Car">
    <w:name w:val="Título 3 Car"/>
    <w:basedOn w:val="Fuentedeprrafopredeter"/>
    <w:link w:val="Ttulo3"/>
    <w:uiPriority w:val="9"/>
    <w:rsid w:val="00B4071A"/>
    <w:rPr>
      <w:rFonts w:asciiTheme="majorHAnsi" w:eastAsiaTheme="majorEastAsia" w:hAnsiTheme="majorHAnsi" w:cstheme="majorBidi"/>
      <w:sz w:val="28"/>
      <w:szCs w:val="28"/>
    </w:rPr>
  </w:style>
  <w:style w:type="character" w:customStyle="1" w:styleId="Ttulo4Car">
    <w:name w:val="Título 4 Car"/>
    <w:basedOn w:val="Fuentedeprrafopredeter"/>
    <w:link w:val="Ttulo4"/>
    <w:uiPriority w:val="9"/>
    <w:rsid w:val="003E0E61"/>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5A416B"/>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5A416B"/>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5A416B"/>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5A416B"/>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5A416B"/>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5A416B"/>
    <w:pPr>
      <w:spacing w:line="240" w:lineRule="auto"/>
    </w:pPr>
    <w:rPr>
      <w:b/>
      <w:bCs/>
      <w:smallCaps/>
      <w:color w:val="44546A" w:themeColor="text2"/>
    </w:rPr>
  </w:style>
  <w:style w:type="paragraph" w:styleId="Subttulo">
    <w:name w:val="Subtitle"/>
    <w:basedOn w:val="Normal"/>
    <w:next w:val="Normal"/>
    <w:link w:val="SubttuloCar"/>
    <w:uiPriority w:val="11"/>
    <w:qFormat/>
    <w:rsid w:val="005A416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5A416B"/>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5A416B"/>
    <w:rPr>
      <w:b/>
      <w:bCs/>
    </w:rPr>
  </w:style>
  <w:style w:type="character" w:styleId="nfasis">
    <w:name w:val="Emphasis"/>
    <w:basedOn w:val="Fuentedeprrafopredeter"/>
    <w:uiPriority w:val="20"/>
    <w:qFormat/>
    <w:rsid w:val="005A416B"/>
    <w:rPr>
      <w:i/>
      <w:iCs/>
    </w:rPr>
  </w:style>
  <w:style w:type="paragraph" w:styleId="Sinespaciado">
    <w:name w:val="No Spacing"/>
    <w:link w:val="SinespaciadoCar"/>
    <w:uiPriority w:val="1"/>
    <w:qFormat/>
    <w:rsid w:val="005A416B"/>
    <w:pPr>
      <w:spacing w:after="0" w:line="240" w:lineRule="auto"/>
    </w:pPr>
  </w:style>
  <w:style w:type="paragraph" w:styleId="Cita">
    <w:name w:val="Quote"/>
    <w:basedOn w:val="Normal"/>
    <w:next w:val="Normal"/>
    <w:link w:val="CitaCar"/>
    <w:uiPriority w:val="29"/>
    <w:qFormat/>
    <w:rsid w:val="005A416B"/>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5A416B"/>
    <w:rPr>
      <w:color w:val="44546A" w:themeColor="text2"/>
      <w:sz w:val="24"/>
      <w:szCs w:val="24"/>
    </w:rPr>
  </w:style>
  <w:style w:type="paragraph" w:styleId="Citadestacada">
    <w:name w:val="Intense Quote"/>
    <w:basedOn w:val="Normal"/>
    <w:next w:val="Normal"/>
    <w:link w:val="CitadestacadaCar"/>
    <w:uiPriority w:val="30"/>
    <w:qFormat/>
    <w:rsid w:val="005A416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5A416B"/>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5A416B"/>
    <w:rPr>
      <w:i/>
      <w:iCs/>
      <w:color w:val="595959" w:themeColor="text1" w:themeTint="A6"/>
    </w:rPr>
  </w:style>
  <w:style w:type="character" w:styleId="nfasisintenso">
    <w:name w:val="Intense Emphasis"/>
    <w:basedOn w:val="Fuentedeprrafopredeter"/>
    <w:uiPriority w:val="21"/>
    <w:qFormat/>
    <w:rsid w:val="005A416B"/>
    <w:rPr>
      <w:b/>
      <w:bCs/>
      <w:i/>
      <w:iCs/>
    </w:rPr>
  </w:style>
  <w:style w:type="character" w:styleId="Referenciasutil">
    <w:name w:val="Subtle Reference"/>
    <w:basedOn w:val="Fuentedeprrafopredeter"/>
    <w:uiPriority w:val="31"/>
    <w:qFormat/>
    <w:rsid w:val="005A416B"/>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5A416B"/>
    <w:rPr>
      <w:b/>
      <w:bCs/>
      <w:smallCaps/>
      <w:color w:val="44546A" w:themeColor="text2"/>
      <w:u w:val="single"/>
    </w:rPr>
  </w:style>
  <w:style w:type="character" w:styleId="Ttulodellibro">
    <w:name w:val="Book Title"/>
    <w:basedOn w:val="Fuentedeprrafopredeter"/>
    <w:uiPriority w:val="33"/>
    <w:qFormat/>
    <w:rsid w:val="005A416B"/>
    <w:rPr>
      <w:b/>
      <w:bCs/>
      <w:smallCaps/>
      <w:spacing w:val="10"/>
    </w:rPr>
  </w:style>
  <w:style w:type="paragraph" w:styleId="TtuloTDC">
    <w:name w:val="TOC Heading"/>
    <w:basedOn w:val="Ttulo1"/>
    <w:next w:val="Normal"/>
    <w:uiPriority w:val="39"/>
    <w:unhideWhenUsed/>
    <w:qFormat/>
    <w:rsid w:val="005A416B"/>
    <w:pPr>
      <w:outlineLvl w:val="9"/>
    </w:pPr>
  </w:style>
  <w:style w:type="paragraph" w:styleId="NormalWeb">
    <w:name w:val="Normal (Web)"/>
    <w:basedOn w:val="Normal"/>
    <w:uiPriority w:val="99"/>
    <w:unhideWhenUsed/>
    <w:rsid w:val="004925FE"/>
    <w:pPr>
      <w:spacing w:before="100" w:beforeAutospacing="1" w:after="100" w:afterAutospacing="1" w:line="240" w:lineRule="auto"/>
    </w:pPr>
    <w:rPr>
      <w:rFonts w:ascii="Times New Roman" w:eastAsia="Times New Roman" w:hAnsi="Times New Roman" w:cs="Times New Roman"/>
      <w:sz w:val="24"/>
      <w:szCs w:val="24"/>
      <w:lang w:eastAsia="es-GT"/>
    </w:rPr>
  </w:style>
  <w:style w:type="character" w:customStyle="1" w:styleId="alt-edited">
    <w:name w:val="alt-edited"/>
    <w:basedOn w:val="Fuentedeprrafopredeter"/>
    <w:rsid w:val="00BE755A"/>
  </w:style>
  <w:style w:type="paragraph" w:styleId="Textonotaalfinal">
    <w:name w:val="endnote text"/>
    <w:basedOn w:val="Normal"/>
    <w:link w:val="TextonotaalfinalCar"/>
    <w:uiPriority w:val="99"/>
    <w:semiHidden/>
    <w:unhideWhenUsed/>
    <w:rsid w:val="0074599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5990"/>
    <w:rPr>
      <w:sz w:val="20"/>
      <w:szCs w:val="20"/>
    </w:rPr>
  </w:style>
  <w:style w:type="character" w:styleId="Refdenotaalfinal">
    <w:name w:val="endnote reference"/>
    <w:basedOn w:val="Fuentedeprrafopredeter"/>
    <w:uiPriority w:val="99"/>
    <w:semiHidden/>
    <w:unhideWhenUsed/>
    <w:rsid w:val="00745990"/>
    <w:rPr>
      <w:vertAlign w:val="superscript"/>
    </w:rPr>
  </w:style>
  <w:style w:type="character" w:customStyle="1" w:styleId="extra-authors-text">
    <w:name w:val="extra-authors-text"/>
    <w:basedOn w:val="Fuentedeprrafopredeter"/>
    <w:rsid w:val="009B4631"/>
  </w:style>
  <w:style w:type="table" w:styleId="Tablaconcuadrcula">
    <w:name w:val="Table Grid"/>
    <w:basedOn w:val="Tablanormal"/>
    <w:uiPriority w:val="39"/>
    <w:rsid w:val="00C7782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A43041"/>
    <w:pPr>
      <w:autoSpaceDE w:val="0"/>
      <w:autoSpaceDN w:val="0"/>
      <w:adjustRightInd w:val="0"/>
      <w:spacing w:after="0" w:line="221" w:lineRule="atLeast"/>
    </w:pPr>
    <w:rPr>
      <w:rFonts w:ascii="CastleT" w:eastAsiaTheme="minorHAnsi" w:hAnsi="CastleT"/>
      <w:sz w:val="24"/>
      <w:szCs w:val="24"/>
    </w:rPr>
  </w:style>
  <w:style w:type="paragraph" w:customStyle="1" w:styleId="Prrafodelista1">
    <w:name w:val="Párrafo de lista1"/>
    <w:basedOn w:val="Normal"/>
    <w:uiPriority w:val="34"/>
    <w:qFormat/>
    <w:rsid w:val="00A43041"/>
    <w:pPr>
      <w:spacing w:after="0" w:line="240" w:lineRule="auto"/>
      <w:ind w:left="720"/>
      <w:contextualSpacing/>
    </w:pPr>
    <w:rPr>
      <w:rFonts w:ascii="Trebuchet MS" w:eastAsia="Times New Roman" w:hAnsi="Trebuchet MS" w:cs="Times New Roman"/>
      <w:sz w:val="24"/>
    </w:rPr>
  </w:style>
  <w:style w:type="paragraph" w:customStyle="1" w:styleId="f1">
    <w:name w:val="f1"/>
    <w:aliases w:val="Ref. de nota al pie.,Footnote symbol,Footnote,16 Point,Superscript 6 Point,Texto nota al pie,Ref. de nota al pi,Re"/>
    <w:basedOn w:val="Normal"/>
    <w:link w:val="Refdenotaalpie"/>
    <w:uiPriority w:val="99"/>
    <w:rsid w:val="00A43041"/>
    <w:pPr>
      <w:spacing w:line="240" w:lineRule="exact"/>
    </w:pPr>
    <w:rPr>
      <w:vertAlign w:val="superscript"/>
    </w:rPr>
  </w:style>
  <w:style w:type="paragraph" w:styleId="TDC1">
    <w:name w:val="toc 1"/>
    <w:basedOn w:val="Normal"/>
    <w:next w:val="Normal"/>
    <w:autoRedefine/>
    <w:uiPriority w:val="39"/>
    <w:unhideWhenUsed/>
    <w:rsid w:val="001B7DC2"/>
    <w:pPr>
      <w:spacing w:after="100"/>
    </w:pPr>
  </w:style>
  <w:style w:type="paragraph" w:styleId="TDC2">
    <w:name w:val="toc 2"/>
    <w:basedOn w:val="Normal"/>
    <w:next w:val="Normal"/>
    <w:autoRedefine/>
    <w:uiPriority w:val="39"/>
    <w:unhideWhenUsed/>
    <w:rsid w:val="001B7DC2"/>
    <w:pPr>
      <w:spacing w:after="100"/>
      <w:ind w:left="220"/>
    </w:pPr>
  </w:style>
  <w:style w:type="paragraph" w:styleId="TDC3">
    <w:name w:val="toc 3"/>
    <w:basedOn w:val="Normal"/>
    <w:next w:val="Normal"/>
    <w:autoRedefine/>
    <w:uiPriority w:val="39"/>
    <w:unhideWhenUsed/>
    <w:rsid w:val="001B7DC2"/>
    <w:pPr>
      <w:spacing w:after="100"/>
      <w:ind w:left="440"/>
    </w:pPr>
  </w:style>
  <w:style w:type="paragraph" w:styleId="Encabezado">
    <w:name w:val="header"/>
    <w:basedOn w:val="Normal"/>
    <w:link w:val="EncabezadoCar"/>
    <w:uiPriority w:val="99"/>
    <w:unhideWhenUsed/>
    <w:rsid w:val="001B7D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7DC2"/>
  </w:style>
  <w:style w:type="paragraph" w:styleId="Piedepgina">
    <w:name w:val="footer"/>
    <w:basedOn w:val="Normal"/>
    <w:link w:val="PiedepginaCar"/>
    <w:uiPriority w:val="99"/>
    <w:unhideWhenUsed/>
    <w:rsid w:val="001B7D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7DC2"/>
  </w:style>
  <w:style w:type="paragraph" w:styleId="Asuntodelcomentario">
    <w:name w:val="annotation subject"/>
    <w:basedOn w:val="Textocomentario"/>
    <w:next w:val="Textocomentario"/>
    <w:link w:val="AsuntodelcomentarioCar"/>
    <w:uiPriority w:val="99"/>
    <w:semiHidden/>
    <w:unhideWhenUsed/>
    <w:rsid w:val="00D36677"/>
    <w:pPr>
      <w:spacing w:after="160"/>
    </w:pPr>
    <w:rPr>
      <w:rFonts w:ascii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D36677"/>
    <w:rPr>
      <w:rFonts w:ascii="Calibri" w:hAnsi="Calibri" w:cs="Times New Roman"/>
      <w:b/>
      <w:bCs/>
      <w:sz w:val="20"/>
      <w:szCs w:val="20"/>
    </w:rPr>
  </w:style>
  <w:style w:type="character" w:customStyle="1" w:styleId="SinespaciadoCar">
    <w:name w:val="Sin espaciado Car"/>
    <w:link w:val="Sinespaciado"/>
    <w:uiPriority w:val="1"/>
    <w:rsid w:val="00A20A6E"/>
  </w:style>
  <w:style w:type="paragraph" w:customStyle="1" w:styleId="Titulogeneral">
    <w:name w:val="Titulo general"/>
    <w:basedOn w:val="Ttulo1"/>
    <w:link w:val="TitulogeneralCar"/>
    <w:qFormat/>
    <w:rsid w:val="00241F1C"/>
    <w:pPr>
      <w:keepLines w:val="0"/>
      <w:tabs>
        <w:tab w:val="num" w:pos="432"/>
      </w:tabs>
      <w:suppressAutoHyphens/>
      <w:spacing w:after="0"/>
      <w:ind w:left="432" w:hanging="432"/>
      <w:jc w:val="both"/>
    </w:pPr>
    <w:rPr>
      <w:rFonts w:eastAsia="Arial Unicode MS" w:cs="Tahoma"/>
      <w:b w:val="0"/>
      <w:bCs/>
      <w:lang w:val="es-ES" w:eastAsia="ar-SA"/>
    </w:rPr>
  </w:style>
  <w:style w:type="character" w:customStyle="1" w:styleId="TitulogeneralCar">
    <w:name w:val="Titulo general Car"/>
    <w:basedOn w:val="Fuentedeprrafopredeter"/>
    <w:link w:val="Titulogeneral"/>
    <w:rsid w:val="00241F1C"/>
    <w:rPr>
      <w:rFonts w:asciiTheme="majorHAnsi" w:eastAsia="Arial Unicode MS" w:hAnsiTheme="majorHAnsi" w:cs="Tahoma"/>
      <w:b/>
      <w:bCs/>
      <w:sz w:val="24"/>
      <w:szCs w:val="24"/>
      <w:lang w:val="es-ES" w:eastAsia="ar-SA"/>
    </w:rPr>
  </w:style>
  <w:style w:type="table" w:customStyle="1" w:styleId="Tabladecuadrcula4-nfasis61">
    <w:name w:val="Tabla de cuadrícula 4 - Énfasis 61"/>
    <w:basedOn w:val="Tablanormal"/>
    <w:uiPriority w:val="49"/>
    <w:rsid w:val="0049604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aclara-nfasis11">
    <w:name w:val="Lista clara - Énfasis 11"/>
    <w:basedOn w:val="Tablanormal"/>
    <w:next w:val="Listaclara-nfasis1"/>
    <w:uiPriority w:val="61"/>
    <w:rsid w:val="0061709B"/>
    <w:pPr>
      <w:spacing w:after="0" w:line="240" w:lineRule="auto"/>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1clara-nfasis11">
    <w:name w:val="Tabla de cuadrícula 1 clara - Énfasis 11"/>
    <w:basedOn w:val="Tablanormal"/>
    <w:next w:val="Tabladecuadrcula1clara-nfasis12"/>
    <w:uiPriority w:val="46"/>
    <w:rsid w:val="0061709B"/>
    <w:pPr>
      <w:spacing w:after="0" w:line="240" w:lineRule="auto"/>
    </w:pPr>
    <w:rPr>
      <w:rFonts w:eastAsia="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Listaclara-nfasis1">
    <w:name w:val="Light List Accent 1"/>
    <w:basedOn w:val="Tablanormal"/>
    <w:uiPriority w:val="61"/>
    <w:semiHidden/>
    <w:unhideWhenUsed/>
    <w:rsid w:val="0061709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adecuadrcula1clara-nfasis12">
    <w:name w:val="Tabla de cuadrícula 1 clara - Énfasis 12"/>
    <w:basedOn w:val="Tablanormal"/>
    <w:uiPriority w:val="46"/>
    <w:rsid w:val="0061709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5oscura-nfasis11">
    <w:name w:val="Tabla de cuadrícula 5 oscura - Énfasis 11"/>
    <w:basedOn w:val="Tablanormal"/>
    <w:uiPriority w:val="50"/>
    <w:rsid w:val="006170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610">
    <w:name w:val="Tabla de cuadrícula 4 - Énfasis 61"/>
    <w:basedOn w:val="Tablanormal"/>
    <w:uiPriority w:val="49"/>
    <w:rsid w:val="006476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msonormal0">
    <w:name w:val="msonormal"/>
    <w:basedOn w:val="Normal"/>
    <w:rsid w:val="00C5780E"/>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customStyle="1" w:styleId="xl65">
    <w:name w:val="xl65"/>
    <w:basedOn w:val="Normal"/>
    <w:rsid w:val="00C5780E"/>
    <w:pPr>
      <w:spacing w:before="100" w:beforeAutospacing="1" w:after="100" w:afterAutospacing="1" w:line="240" w:lineRule="auto"/>
    </w:pPr>
    <w:rPr>
      <w:rFonts w:ascii="Times New Roman" w:eastAsia="Times New Roman" w:hAnsi="Times New Roman" w:cs="Times New Roman"/>
      <w:sz w:val="16"/>
      <w:szCs w:val="16"/>
      <w:lang w:eastAsia="es-GT"/>
    </w:rPr>
  </w:style>
  <w:style w:type="paragraph" w:customStyle="1" w:styleId="xl66">
    <w:name w:val="xl66"/>
    <w:basedOn w:val="Normal"/>
    <w:rsid w:val="00C57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GT"/>
    </w:rPr>
  </w:style>
  <w:style w:type="paragraph" w:customStyle="1" w:styleId="xl67">
    <w:name w:val="xl67"/>
    <w:basedOn w:val="Normal"/>
    <w:rsid w:val="00C57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GT"/>
    </w:rPr>
  </w:style>
  <w:style w:type="paragraph" w:customStyle="1" w:styleId="xl68">
    <w:name w:val="xl68"/>
    <w:basedOn w:val="Normal"/>
    <w:rsid w:val="00C57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GT"/>
    </w:rPr>
  </w:style>
  <w:style w:type="paragraph" w:customStyle="1" w:styleId="xl69">
    <w:name w:val="xl69"/>
    <w:basedOn w:val="Normal"/>
    <w:rsid w:val="00C578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GT"/>
    </w:rPr>
  </w:style>
  <w:style w:type="paragraph" w:customStyle="1" w:styleId="xl70">
    <w:name w:val="xl70"/>
    <w:basedOn w:val="Normal"/>
    <w:rsid w:val="00C57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es-GT"/>
    </w:rPr>
  </w:style>
  <w:style w:type="paragraph" w:customStyle="1" w:styleId="xl71">
    <w:name w:val="xl71"/>
    <w:basedOn w:val="Normal"/>
    <w:rsid w:val="00C5780E"/>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lang w:eastAsia="es-GT"/>
    </w:rPr>
  </w:style>
  <w:style w:type="paragraph" w:customStyle="1" w:styleId="xl72">
    <w:name w:val="xl72"/>
    <w:basedOn w:val="Normal"/>
    <w:rsid w:val="00C57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GT"/>
    </w:rPr>
  </w:style>
  <w:style w:type="paragraph" w:customStyle="1" w:styleId="xl73">
    <w:name w:val="xl73"/>
    <w:basedOn w:val="Normal"/>
    <w:rsid w:val="00C57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GT"/>
    </w:rPr>
  </w:style>
  <w:style w:type="paragraph" w:customStyle="1" w:styleId="xl74">
    <w:name w:val="xl74"/>
    <w:basedOn w:val="Normal"/>
    <w:rsid w:val="00C5780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16"/>
      <w:szCs w:val="16"/>
      <w:lang w:eastAsia="es-GT"/>
    </w:rPr>
  </w:style>
  <w:style w:type="paragraph" w:customStyle="1" w:styleId="xl75">
    <w:name w:val="xl75"/>
    <w:basedOn w:val="Normal"/>
    <w:rsid w:val="00C5780E"/>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lang w:eastAsia="es-GT"/>
    </w:rPr>
  </w:style>
  <w:style w:type="paragraph" w:customStyle="1" w:styleId="xl76">
    <w:name w:val="xl76"/>
    <w:basedOn w:val="Normal"/>
    <w:rsid w:val="00C578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GT"/>
    </w:rPr>
  </w:style>
  <w:style w:type="paragraph" w:customStyle="1" w:styleId="xl77">
    <w:name w:val="xl77"/>
    <w:basedOn w:val="Normal"/>
    <w:rsid w:val="00C578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GT"/>
    </w:rPr>
  </w:style>
  <w:style w:type="paragraph" w:customStyle="1" w:styleId="xl78">
    <w:name w:val="xl78"/>
    <w:basedOn w:val="Normal"/>
    <w:rsid w:val="00C578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GT"/>
    </w:rPr>
  </w:style>
  <w:style w:type="paragraph" w:customStyle="1" w:styleId="xl79">
    <w:name w:val="xl79"/>
    <w:basedOn w:val="Normal"/>
    <w:rsid w:val="00C578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GT"/>
    </w:rPr>
  </w:style>
  <w:style w:type="paragraph" w:customStyle="1" w:styleId="xl80">
    <w:name w:val="xl80"/>
    <w:basedOn w:val="Normal"/>
    <w:rsid w:val="00C5780E"/>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16"/>
      <w:szCs w:val="16"/>
      <w:lang w:eastAsia="es-GT"/>
    </w:rPr>
  </w:style>
  <w:style w:type="paragraph" w:customStyle="1" w:styleId="xl81">
    <w:name w:val="xl81"/>
    <w:basedOn w:val="Normal"/>
    <w:rsid w:val="00C578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16"/>
      <w:szCs w:val="16"/>
      <w:lang w:eastAsia="es-GT"/>
    </w:rPr>
  </w:style>
  <w:style w:type="table" w:customStyle="1" w:styleId="Tabladelista7concolores-nfasis51">
    <w:name w:val="Tabla de lista 7 con colores - Énfasis 51"/>
    <w:basedOn w:val="Tablanormal"/>
    <w:uiPriority w:val="52"/>
    <w:rsid w:val="00AE322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1765">
      <w:bodyDiv w:val="1"/>
      <w:marLeft w:val="0"/>
      <w:marRight w:val="0"/>
      <w:marTop w:val="0"/>
      <w:marBottom w:val="0"/>
      <w:divBdr>
        <w:top w:val="none" w:sz="0" w:space="0" w:color="auto"/>
        <w:left w:val="none" w:sz="0" w:space="0" w:color="auto"/>
        <w:bottom w:val="none" w:sz="0" w:space="0" w:color="auto"/>
        <w:right w:val="none" w:sz="0" w:space="0" w:color="auto"/>
      </w:divBdr>
    </w:div>
    <w:div w:id="56325983">
      <w:bodyDiv w:val="1"/>
      <w:marLeft w:val="0"/>
      <w:marRight w:val="0"/>
      <w:marTop w:val="0"/>
      <w:marBottom w:val="0"/>
      <w:divBdr>
        <w:top w:val="none" w:sz="0" w:space="0" w:color="auto"/>
        <w:left w:val="none" w:sz="0" w:space="0" w:color="auto"/>
        <w:bottom w:val="none" w:sz="0" w:space="0" w:color="auto"/>
        <w:right w:val="none" w:sz="0" w:space="0" w:color="auto"/>
      </w:divBdr>
    </w:div>
    <w:div w:id="117452864">
      <w:bodyDiv w:val="1"/>
      <w:marLeft w:val="0"/>
      <w:marRight w:val="0"/>
      <w:marTop w:val="0"/>
      <w:marBottom w:val="0"/>
      <w:divBdr>
        <w:top w:val="none" w:sz="0" w:space="0" w:color="auto"/>
        <w:left w:val="none" w:sz="0" w:space="0" w:color="auto"/>
        <w:bottom w:val="none" w:sz="0" w:space="0" w:color="auto"/>
        <w:right w:val="none" w:sz="0" w:space="0" w:color="auto"/>
      </w:divBdr>
    </w:div>
    <w:div w:id="119879065">
      <w:bodyDiv w:val="1"/>
      <w:marLeft w:val="0"/>
      <w:marRight w:val="0"/>
      <w:marTop w:val="0"/>
      <w:marBottom w:val="0"/>
      <w:divBdr>
        <w:top w:val="none" w:sz="0" w:space="0" w:color="auto"/>
        <w:left w:val="none" w:sz="0" w:space="0" w:color="auto"/>
        <w:bottom w:val="none" w:sz="0" w:space="0" w:color="auto"/>
        <w:right w:val="none" w:sz="0" w:space="0" w:color="auto"/>
      </w:divBdr>
    </w:div>
    <w:div w:id="128017407">
      <w:bodyDiv w:val="1"/>
      <w:marLeft w:val="0"/>
      <w:marRight w:val="0"/>
      <w:marTop w:val="0"/>
      <w:marBottom w:val="0"/>
      <w:divBdr>
        <w:top w:val="none" w:sz="0" w:space="0" w:color="auto"/>
        <w:left w:val="none" w:sz="0" w:space="0" w:color="auto"/>
        <w:bottom w:val="none" w:sz="0" w:space="0" w:color="auto"/>
        <w:right w:val="none" w:sz="0" w:space="0" w:color="auto"/>
      </w:divBdr>
    </w:div>
    <w:div w:id="17507661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03565044">
      <w:bodyDiv w:val="1"/>
      <w:marLeft w:val="0"/>
      <w:marRight w:val="0"/>
      <w:marTop w:val="0"/>
      <w:marBottom w:val="0"/>
      <w:divBdr>
        <w:top w:val="none" w:sz="0" w:space="0" w:color="auto"/>
        <w:left w:val="none" w:sz="0" w:space="0" w:color="auto"/>
        <w:bottom w:val="none" w:sz="0" w:space="0" w:color="auto"/>
        <w:right w:val="none" w:sz="0" w:space="0" w:color="auto"/>
      </w:divBdr>
    </w:div>
    <w:div w:id="213740800">
      <w:bodyDiv w:val="1"/>
      <w:marLeft w:val="0"/>
      <w:marRight w:val="0"/>
      <w:marTop w:val="0"/>
      <w:marBottom w:val="0"/>
      <w:divBdr>
        <w:top w:val="none" w:sz="0" w:space="0" w:color="auto"/>
        <w:left w:val="none" w:sz="0" w:space="0" w:color="auto"/>
        <w:bottom w:val="none" w:sz="0" w:space="0" w:color="auto"/>
        <w:right w:val="none" w:sz="0" w:space="0" w:color="auto"/>
      </w:divBdr>
    </w:div>
    <w:div w:id="311446433">
      <w:bodyDiv w:val="1"/>
      <w:marLeft w:val="0"/>
      <w:marRight w:val="0"/>
      <w:marTop w:val="0"/>
      <w:marBottom w:val="0"/>
      <w:divBdr>
        <w:top w:val="none" w:sz="0" w:space="0" w:color="auto"/>
        <w:left w:val="none" w:sz="0" w:space="0" w:color="auto"/>
        <w:bottom w:val="none" w:sz="0" w:space="0" w:color="auto"/>
        <w:right w:val="none" w:sz="0" w:space="0" w:color="auto"/>
      </w:divBdr>
    </w:div>
    <w:div w:id="349377300">
      <w:bodyDiv w:val="1"/>
      <w:marLeft w:val="0"/>
      <w:marRight w:val="0"/>
      <w:marTop w:val="0"/>
      <w:marBottom w:val="0"/>
      <w:divBdr>
        <w:top w:val="none" w:sz="0" w:space="0" w:color="auto"/>
        <w:left w:val="none" w:sz="0" w:space="0" w:color="auto"/>
        <w:bottom w:val="none" w:sz="0" w:space="0" w:color="auto"/>
        <w:right w:val="none" w:sz="0" w:space="0" w:color="auto"/>
      </w:divBdr>
      <w:divsChild>
        <w:div w:id="120416881">
          <w:marLeft w:val="0"/>
          <w:marRight w:val="0"/>
          <w:marTop w:val="0"/>
          <w:marBottom w:val="0"/>
          <w:divBdr>
            <w:top w:val="none" w:sz="0" w:space="0" w:color="auto"/>
            <w:left w:val="none" w:sz="0" w:space="0" w:color="auto"/>
            <w:bottom w:val="none" w:sz="0" w:space="0" w:color="auto"/>
            <w:right w:val="none" w:sz="0" w:space="0" w:color="auto"/>
          </w:divBdr>
        </w:div>
        <w:div w:id="446773953">
          <w:marLeft w:val="0"/>
          <w:marRight w:val="0"/>
          <w:marTop w:val="0"/>
          <w:marBottom w:val="0"/>
          <w:divBdr>
            <w:top w:val="none" w:sz="0" w:space="0" w:color="auto"/>
            <w:left w:val="none" w:sz="0" w:space="0" w:color="auto"/>
            <w:bottom w:val="none" w:sz="0" w:space="0" w:color="auto"/>
            <w:right w:val="none" w:sz="0" w:space="0" w:color="auto"/>
          </w:divBdr>
        </w:div>
        <w:div w:id="529490034">
          <w:marLeft w:val="0"/>
          <w:marRight w:val="0"/>
          <w:marTop w:val="0"/>
          <w:marBottom w:val="0"/>
          <w:divBdr>
            <w:top w:val="none" w:sz="0" w:space="0" w:color="auto"/>
            <w:left w:val="none" w:sz="0" w:space="0" w:color="auto"/>
            <w:bottom w:val="none" w:sz="0" w:space="0" w:color="auto"/>
            <w:right w:val="none" w:sz="0" w:space="0" w:color="auto"/>
          </w:divBdr>
        </w:div>
        <w:div w:id="628243587">
          <w:marLeft w:val="0"/>
          <w:marRight w:val="0"/>
          <w:marTop w:val="0"/>
          <w:marBottom w:val="0"/>
          <w:divBdr>
            <w:top w:val="none" w:sz="0" w:space="0" w:color="auto"/>
            <w:left w:val="none" w:sz="0" w:space="0" w:color="auto"/>
            <w:bottom w:val="none" w:sz="0" w:space="0" w:color="auto"/>
            <w:right w:val="none" w:sz="0" w:space="0" w:color="auto"/>
          </w:divBdr>
        </w:div>
        <w:div w:id="1548105819">
          <w:marLeft w:val="0"/>
          <w:marRight w:val="0"/>
          <w:marTop w:val="0"/>
          <w:marBottom w:val="0"/>
          <w:divBdr>
            <w:top w:val="none" w:sz="0" w:space="0" w:color="auto"/>
            <w:left w:val="none" w:sz="0" w:space="0" w:color="auto"/>
            <w:bottom w:val="none" w:sz="0" w:space="0" w:color="auto"/>
            <w:right w:val="none" w:sz="0" w:space="0" w:color="auto"/>
          </w:divBdr>
        </w:div>
        <w:div w:id="2140108785">
          <w:marLeft w:val="0"/>
          <w:marRight w:val="0"/>
          <w:marTop w:val="0"/>
          <w:marBottom w:val="0"/>
          <w:divBdr>
            <w:top w:val="none" w:sz="0" w:space="0" w:color="auto"/>
            <w:left w:val="none" w:sz="0" w:space="0" w:color="auto"/>
            <w:bottom w:val="none" w:sz="0" w:space="0" w:color="auto"/>
            <w:right w:val="none" w:sz="0" w:space="0" w:color="auto"/>
          </w:divBdr>
        </w:div>
      </w:divsChild>
    </w:div>
    <w:div w:id="375206454">
      <w:bodyDiv w:val="1"/>
      <w:marLeft w:val="0"/>
      <w:marRight w:val="0"/>
      <w:marTop w:val="0"/>
      <w:marBottom w:val="0"/>
      <w:divBdr>
        <w:top w:val="none" w:sz="0" w:space="0" w:color="auto"/>
        <w:left w:val="none" w:sz="0" w:space="0" w:color="auto"/>
        <w:bottom w:val="none" w:sz="0" w:space="0" w:color="auto"/>
        <w:right w:val="none" w:sz="0" w:space="0" w:color="auto"/>
      </w:divBdr>
    </w:div>
    <w:div w:id="385493015">
      <w:bodyDiv w:val="1"/>
      <w:marLeft w:val="0"/>
      <w:marRight w:val="0"/>
      <w:marTop w:val="0"/>
      <w:marBottom w:val="0"/>
      <w:divBdr>
        <w:top w:val="none" w:sz="0" w:space="0" w:color="auto"/>
        <w:left w:val="none" w:sz="0" w:space="0" w:color="auto"/>
        <w:bottom w:val="none" w:sz="0" w:space="0" w:color="auto"/>
        <w:right w:val="none" w:sz="0" w:space="0" w:color="auto"/>
      </w:divBdr>
    </w:div>
    <w:div w:id="501890719">
      <w:bodyDiv w:val="1"/>
      <w:marLeft w:val="0"/>
      <w:marRight w:val="0"/>
      <w:marTop w:val="0"/>
      <w:marBottom w:val="0"/>
      <w:divBdr>
        <w:top w:val="none" w:sz="0" w:space="0" w:color="auto"/>
        <w:left w:val="none" w:sz="0" w:space="0" w:color="auto"/>
        <w:bottom w:val="none" w:sz="0" w:space="0" w:color="auto"/>
        <w:right w:val="none" w:sz="0" w:space="0" w:color="auto"/>
      </w:divBdr>
    </w:div>
    <w:div w:id="541795291">
      <w:bodyDiv w:val="1"/>
      <w:marLeft w:val="0"/>
      <w:marRight w:val="0"/>
      <w:marTop w:val="0"/>
      <w:marBottom w:val="0"/>
      <w:divBdr>
        <w:top w:val="none" w:sz="0" w:space="0" w:color="auto"/>
        <w:left w:val="none" w:sz="0" w:space="0" w:color="auto"/>
        <w:bottom w:val="none" w:sz="0" w:space="0" w:color="auto"/>
        <w:right w:val="none" w:sz="0" w:space="0" w:color="auto"/>
      </w:divBdr>
    </w:div>
    <w:div w:id="661196734">
      <w:bodyDiv w:val="1"/>
      <w:marLeft w:val="0"/>
      <w:marRight w:val="0"/>
      <w:marTop w:val="0"/>
      <w:marBottom w:val="0"/>
      <w:divBdr>
        <w:top w:val="none" w:sz="0" w:space="0" w:color="auto"/>
        <w:left w:val="none" w:sz="0" w:space="0" w:color="auto"/>
        <w:bottom w:val="none" w:sz="0" w:space="0" w:color="auto"/>
        <w:right w:val="none" w:sz="0" w:space="0" w:color="auto"/>
      </w:divBdr>
    </w:div>
    <w:div w:id="668680180">
      <w:bodyDiv w:val="1"/>
      <w:marLeft w:val="0"/>
      <w:marRight w:val="0"/>
      <w:marTop w:val="0"/>
      <w:marBottom w:val="0"/>
      <w:divBdr>
        <w:top w:val="none" w:sz="0" w:space="0" w:color="auto"/>
        <w:left w:val="none" w:sz="0" w:space="0" w:color="auto"/>
        <w:bottom w:val="none" w:sz="0" w:space="0" w:color="auto"/>
        <w:right w:val="none" w:sz="0" w:space="0" w:color="auto"/>
      </w:divBdr>
      <w:divsChild>
        <w:div w:id="1814787682">
          <w:marLeft w:val="360"/>
          <w:marRight w:val="0"/>
          <w:marTop w:val="200"/>
          <w:marBottom w:val="0"/>
          <w:divBdr>
            <w:top w:val="none" w:sz="0" w:space="0" w:color="auto"/>
            <w:left w:val="none" w:sz="0" w:space="0" w:color="auto"/>
            <w:bottom w:val="none" w:sz="0" w:space="0" w:color="auto"/>
            <w:right w:val="none" w:sz="0" w:space="0" w:color="auto"/>
          </w:divBdr>
        </w:div>
      </w:divsChild>
    </w:div>
    <w:div w:id="680935970">
      <w:bodyDiv w:val="1"/>
      <w:marLeft w:val="0"/>
      <w:marRight w:val="0"/>
      <w:marTop w:val="0"/>
      <w:marBottom w:val="0"/>
      <w:divBdr>
        <w:top w:val="none" w:sz="0" w:space="0" w:color="auto"/>
        <w:left w:val="none" w:sz="0" w:space="0" w:color="auto"/>
        <w:bottom w:val="none" w:sz="0" w:space="0" w:color="auto"/>
        <w:right w:val="none" w:sz="0" w:space="0" w:color="auto"/>
      </w:divBdr>
    </w:div>
    <w:div w:id="720520219">
      <w:bodyDiv w:val="1"/>
      <w:marLeft w:val="0"/>
      <w:marRight w:val="0"/>
      <w:marTop w:val="0"/>
      <w:marBottom w:val="0"/>
      <w:divBdr>
        <w:top w:val="none" w:sz="0" w:space="0" w:color="auto"/>
        <w:left w:val="none" w:sz="0" w:space="0" w:color="auto"/>
        <w:bottom w:val="none" w:sz="0" w:space="0" w:color="auto"/>
        <w:right w:val="none" w:sz="0" w:space="0" w:color="auto"/>
      </w:divBdr>
    </w:div>
    <w:div w:id="807355722">
      <w:bodyDiv w:val="1"/>
      <w:marLeft w:val="0"/>
      <w:marRight w:val="0"/>
      <w:marTop w:val="0"/>
      <w:marBottom w:val="0"/>
      <w:divBdr>
        <w:top w:val="none" w:sz="0" w:space="0" w:color="auto"/>
        <w:left w:val="none" w:sz="0" w:space="0" w:color="auto"/>
        <w:bottom w:val="none" w:sz="0" w:space="0" w:color="auto"/>
        <w:right w:val="none" w:sz="0" w:space="0" w:color="auto"/>
      </w:divBdr>
      <w:divsChild>
        <w:div w:id="64570407">
          <w:marLeft w:val="0"/>
          <w:marRight w:val="0"/>
          <w:marTop w:val="0"/>
          <w:marBottom w:val="0"/>
          <w:divBdr>
            <w:top w:val="none" w:sz="0" w:space="0" w:color="auto"/>
            <w:left w:val="none" w:sz="0" w:space="0" w:color="auto"/>
            <w:bottom w:val="none" w:sz="0" w:space="0" w:color="auto"/>
            <w:right w:val="none" w:sz="0" w:space="0" w:color="auto"/>
          </w:divBdr>
        </w:div>
        <w:div w:id="69356695">
          <w:marLeft w:val="0"/>
          <w:marRight w:val="0"/>
          <w:marTop w:val="0"/>
          <w:marBottom w:val="0"/>
          <w:divBdr>
            <w:top w:val="none" w:sz="0" w:space="0" w:color="auto"/>
            <w:left w:val="none" w:sz="0" w:space="0" w:color="auto"/>
            <w:bottom w:val="none" w:sz="0" w:space="0" w:color="auto"/>
            <w:right w:val="none" w:sz="0" w:space="0" w:color="auto"/>
          </w:divBdr>
        </w:div>
        <w:div w:id="274563056">
          <w:marLeft w:val="0"/>
          <w:marRight w:val="0"/>
          <w:marTop w:val="0"/>
          <w:marBottom w:val="0"/>
          <w:divBdr>
            <w:top w:val="none" w:sz="0" w:space="0" w:color="auto"/>
            <w:left w:val="none" w:sz="0" w:space="0" w:color="auto"/>
            <w:bottom w:val="none" w:sz="0" w:space="0" w:color="auto"/>
            <w:right w:val="none" w:sz="0" w:space="0" w:color="auto"/>
          </w:divBdr>
        </w:div>
        <w:div w:id="309288241">
          <w:marLeft w:val="0"/>
          <w:marRight w:val="0"/>
          <w:marTop w:val="0"/>
          <w:marBottom w:val="0"/>
          <w:divBdr>
            <w:top w:val="none" w:sz="0" w:space="0" w:color="auto"/>
            <w:left w:val="none" w:sz="0" w:space="0" w:color="auto"/>
            <w:bottom w:val="none" w:sz="0" w:space="0" w:color="auto"/>
            <w:right w:val="none" w:sz="0" w:space="0" w:color="auto"/>
          </w:divBdr>
        </w:div>
        <w:div w:id="319778170">
          <w:marLeft w:val="0"/>
          <w:marRight w:val="0"/>
          <w:marTop w:val="0"/>
          <w:marBottom w:val="0"/>
          <w:divBdr>
            <w:top w:val="none" w:sz="0" w:space="0" w:color="auto"/>
            <w:left w:val="none" w:sz="0" w:space="0" w:color="auto"/>
            <w:bottom w:val="none" w:sz="0" w:space="0" w:color="auto"/>
            <w:right w:val="none" w:sz="0" w:space="0" w:color="auto"/>
          </w:divBdr>
        </w:div>
        <w:div w:id="461965969">
          <w:marLeft w:val="0"/>
          <w:marRight w:val="0"/>
          <w:marTop w:val="0"/>
          <w:marBottom w:val="0"/>
          <w:divBdr>
            <w:top w:val="none" w:sz="0" w:space="0" w:color="auto"/>
            <w:left w:val="none" w:sz="0" w:space="0" w:color="auto"/>
            <w:bottom w:val="none" w:sz="0" w:space="0" w:color="auto"/>
            <w:right w:val="none" w:sz="0" w:space="0" w:color="auto"/>
          </w:divBdr>
        </w:div>
        <w:div w:id="523834508">
          <w:marLeft w:val="0"/>
          <w:marRight w:val="0"/>
          <w:marTop w:val="0"/>
          <w:marBottom w:val="0"/>
          <w:divBdr>
            <w:top w:val="none" w:sz="0" w:space="0" w:color="auto"/>
            <w:left w:val="none" w:sz="0" w:space="0" w:color="auto"/>
            <w:bottom w:val="none" w:sz="0" w:space="0" w:color="auto"/>
            <w:right w:val="none" w:sz="0" w:space="0" w:color="auto"/>
          </w:divBdr>
        </w:div>
        <w:div w:id="579602907">
          <w:marLeft w:val="0"/>
          <w:marRight w:val="0"/>
          <w:marTop w:val="0"/>
          <w:marBottom w:val="0"/>
          <w:divBdr>
            <w:top w:val="none" w:sz="0" w:space="0" w:color="auto"/>
            <w:left w:val="none" w:sz="0" w:space="0" w:color="auto"/>
            <w:bottom w:val="none" w:sz="0" w:space="0" w:color="auto"/>
            <w:right w:val="none" w:sz="0" w:space="0" w:color="auto"/>
          </w:divBdr>
        </w:div>
        <w:div w:id="593825782">
          <w:marLeft w:val="0"/>
          <w:marRight w:val="0"/>
          <w:marTop w:val="0"/>
          <w:marBottom w:val="0"/>
          <w:divBdr>
            <w:top w:val="none" w:sz="0" w:space="0" w:color="auto"/>
            <w:left w:val="none" w:sz="0" w:space="0" w:color="auto"/>
            <w:bottom w:val="none" w:sz="0" w:space="0" w:color="auto"/>
            <w:right w:val="none" w:sz="0" w:space="0" w:color="auto"/>
          </w:divBdr>
        </w:div>
        <w:div w:id="623728060">
          <w:marLeft w:val="0"/>
          <w:marRight w:val="0"/>
          <w:marTop w:val="0"/>
          <w:marBottom w:val="0"/>
          <w:divBdr>
            <w:top w:val="none" w:sz="0" w:space="0" w:color="auto"/>
            <w:left w:val="none" w:sz="0" w:space="0" w:color="auto"/>
            <w:bottom w:val="none" w:sz="0" w:space="0" w:color="auto"/>
            <w:right w:val="none" w:sz="0" w:space="0" w:color="auto"/>
          </w:divBdr>
        </w:div>
        <w:div w:id="673532209">
          <w:marLeft w:val="0"/>
          <w:marRight w:val="0"/>
          <w:marTop w:val="0"/>
          <w:marBottom w:val="0"/>
          <w:divBdr>
            <w:top w:val="none" w:sz="0" w:space="0" w:color="auto"/>
            <w:left w:val="none" w:sz="0" w:space="0" w:color="auto"/>
            <w:bottom w:val="none" w:sz="0" w:space="0" w:color="auto"/>
            <w:right w:val="none" w:sz="0" w:space="0" w:color="auto"/>
          </w:divBdr>
        </w:div>
        <w:div w:id="680744911">
          <w:marLeft w:val="0"/>
          <w:marRight w:val="0"/>
          <w:marTop w:val="0"/>
          <w:marBottom w:val="0"/>
          <w:divBdr>
            <w:top w:val="none" w:sz="0" w:space="0" w:color="auto"/>
            <w:left w:val="none" w:sz="0" w:space="0" w:color="auto"/>
            <w:bottom w:val="none" w:sz="0" w:space="0" w:color="auto"/>
            <w:right w:val="none" w:sz="0" w:space="0" w:color="auto"/>
          </w:divBdr>
        </w:div>
        <w:div w:id="770126421">
          <w:marLeft w:val="0"/>
          <w:marRight w:val="0"/>
          <w:marTop w:val="0"/>
          <w:marBottom w:val="0"/>
          <w:divBdr>
            <w:top w:val="none" w:sz="0" w:space="0" w:color="auto"/>
            <w:left w:val="none" w:sz="0" w:space="0" w:color="auto"/>
            <w:bottom w:val="none" w:sz="0" w:space="0" w:color="auto"/>
            <w:right w:val="none" w:sz="0" w:space="0" w:color="auto"/>
          </w:divBdr>
        </w:div>
        <w:div w:id="865825568">
          <w:marLeft w:val="0"/>
          <w:marRight w:val="0"/>
          <w:marTop w:val="0"/>
          <w:marBottom w:val="0"/>
          <w:divBdr>
            <w:top w:val="none" w:sz="0" w:space="0" w:color="auto"/>
            <w:left w:val="none" w:sz="0" w:space="0" w:color="auto"/>
            <w:bottom w:val="none" w:sz="0" w:space="0" w:color="auto"/>
            <w:right w:val="none" w:sz="0" w:space="0" w:color="auto"/>
          </w:divBdr>
        </w:div>
        <w:div w:id="946698672">
          <w:marLeft w:val="0"/>
          <w:marRight w:val="0"/>
          <w:marTop w:val="0"/>
          <w:marBottom w:val="0"/>
          <w:divBdr>
            <w:top w:val="none" w:sz="0" w:space="0" w:color="auto"/>
            <w:left w:val="none" w:sz="0" w:space="0" w:color="auto"/>
            <w:bottom w:val="none" w:sz="0" w:space="0" w:color="auto"/>
            <w:right w:val="none" w:sz="0" w:space="0" w:color="auto"/>
          </w:divBdr>
        </w:div>
        <w:div w:id="1029137734">
          <w:marLeft w:val="0"/>
          <w:marRight w:val="0"/>
          <w:marTop w:val="0"/>
          <w:marBottom w:val="0"/>
          <w:divBdr>
            <w:top w:val="none" w:sz="0" w:space="0" w:color="auto"/>
            <w:left w:val="none" w:sz="0" w:space="0" w:color="auto"/>
            <w:bottom w:val="none" w:sz="0" w:space="0" w:color="auto"/>
            <w:right w:val="none" w:sz="0" w:space="0" w:color="auto"/>
          </w:divBdr>
        </w:div>
        <w:div w:id="1035303275">
          <w:marLeft w:val="0"/>
          <w:marRight w:val="0"/>
          <w:marTop w:val="0"/>
          <w:marBottom w:val="0"/>
          <w:divBdr>
            <w:top w:val="none" w:sz="0" w:space="0" w:color="auto"/>
            <w:left w:val="none" w:sz="0" w:space="0" w:color="auto"/>
            <w:bottom w:val="none" w:sz="0" w:space="0" w:color="auto"/>
            <w:right w:val="none" w:sz="0" w:space="0" w:color="auto"/>
          </w:divBdr>
        </w:div>
        <w:div w:id="1044216711">
          <w:marLeft w:val="0"/>
          <w:marRight w:val="0"/>
          <w:marTop w:val="0"/>
          <w:marBottom w:val="0"/>
          <w:divBdr>
            <w:top w:val="none" w:sz="0" w:space="0" w:color="auto"/>
            <w:left w:val="none" w:sz="0" w:space="0" w:color="auto"/>
            <w:bottom w:val="none" w:sz="0" w:space="0" w:color="auto"/>
            <w:right w:val="none" w:sz="0" w:space="0" w:color="auto"/>
          </w:divBdr>
        </w:div>
        <w:div w:id="1095050396">
          <w:marLeft w:val="0"/>
          <w:marRight w:val="0"/>
          <w:marTop w:val="0"/>
          <w:marBottom w:val="0"/>
          <w:divBdr>
            <w:top w:val="none" w:sz="0" w:space="0" w:color="auto"/>
            <w:left w:val="none" w:sz="0" w:space="0" w:color="auto"/>
            <w:bottom w:val="none" w:sz="0" w:space="0" w:color="auto"/>
            <w:right w:val="none" w:sz="0" w:space="0" w:color="auto"/>
          </w:divBdr>
        </w:div>
        <w:div w:id="1144737571">
          <w:marLeft w:val="0"/>
          <w:marRight w:val="0"/>
          <w:marTop w:val="0"/>
          <w:marBottom w:val="0"/>
          <w:divBdr>
            <w:top w:val="none" w:sz="0" w:space="0" w:color="auto"/>
            <w:left w:val="none" w:sz="0" w:space="0" w:color="auto"/>
            <w:bottom w:val="none" w:sz="0" w:space="0" w:color="auto"/>
            <w:right w:val="none" w:sz="0" w:space="0" w:color="auto"/>
          </w:divBdr>
        </w:div>
        <w:div w:id="1453208774">
          <w:marLeft w:val="0"/>
          <w:marRight w:val="0"/>
          <w:marTop w:val="0"/>
          <w:marBottom w:val="0"/>
          <w:divBdr>
            <w:top w:val="none" w:sz="0" w:space="0" w:color="auto"/>
            <w:left w:val="none" w:sz="0" w:space="0" w:color="auto"/>
            <w:bottom w:val="none" w:sz="0" w:space="0" w:color="auto"/>
            <w:right w:val="none" w:sz="0" w:space="0" w:color="auto"/>
          </w:divBdr>
        </w:div>
        <w:div w:id="1666974137">
          <w:marLeft w:val="0"/>
          <w:marRight w:val="0"/>
          <w:marTop w:val="0"/>
          <w:marBottom w:val="0"/>
          <w:divBdr>
            <w:top w:val="none" w:sz="0" w:space="0" w:color="auto"/>
            <w:left w:val="none" w:sz="0" w:space="0" w:color="auto"/>
            <w:bottom w:val="none" w:sz="0" w:space="0" w:color="auto"/>
            <w:right w:val="none" w:sz="0" w:space="0" w:color="auto"/>
          </w:divBdr>
        </w:div>
        <w:div w:id="1702583229">
          <w:marLeft w:val="0"/>
          <w:marRight w:val="0"/>
          <w:marTop w:val="0"/>
          <w:marBottom w:val="0"/>
          <w:divBdr>
            <w:top w:val="none" w:sz="0" w:space="0" w:color="auto"/>
            <w:left w:val="none" w:sz="0" w:space="0" w:color="auto"/>
            <w:bottom w:val="none" w:sz="0" w:space="0" w:color="auto"/>
            <w:right w:val="none" w:sz="0" w:space="0" w:color="auto"/>
          </w:divBdr>
        </w:div>
        <w:div w:id="1879588355">
          <w:marLeft w:val="0"/>
          <w:marRight w:val="0"/>
          <w:marTop w:val="0"/>
          <w:marBottom w:val="0"/>
          <w:divBdr>
            <w:top w:val="none" w:sz="0" w:space="0" w:color="auto"/>
            <w:left w:val="none" w:sz="0" w:space="0" w:color="auto"/>
            <w:bottom w:val="none" w:sz="0" w:space="0" w:color="auto"/>
            <w:right w:val="none" w:sz="0" w:space="0" w:color="auto"/>
          </w:divBdr>
        </w:div>
        <w:div w:id="1885865972">
          <w:marLeft w:val="0"/>
          <w:marRight w:val="0"/>
          <w:marTop w:val="0"/>
          <w:marBottom w:val="0"/>
          <w:divBdr>
            <w:top w:val="none" w:sz="0" w:space="0" w:color="auto"/>
            <w:left w:val="none" w:sz="0" w:space="0" w:color="auto"/>
            <w:bottom w:val="none" w:sz="0" w:space="0" w:color="auto"/>
            <w:right w:val="none" w:sz="0" w:space="0" w:color="auto"/>
          </w:divBdr>
        </w:div>
        <w:div w:id="1893034724">
          <w:marLeft w:val="0"/>
          <w:marRight w:val="0"/>
          <w:marTop w:val="0"/>
          <w:marBottom w:val="0"/>
          <w:divBdr>
            <w:top w:val="none" w:sz="0" w:space="0" w:color="auto"/>
            <w:left w:val="none" w:sz="0" w:space="0" w:color="auto"/>
            <w:bottom w:val="none" w:sz="0" w:space="0" w:color="auto"/>
            <w:right w:val="none" w:sz="0" w:space="0" w:color="auto"/>
          </w:divBdr>
        </w:div>
        <w:div w:id="1900901932">
          <w:marLeft w:val="0"/>
          <w:marRight w:val="0"/>
          <w:marTop w:val="0"/>
          <w:marBottom w:val="0"/>
          <w:divBdr>
            <w:top w:val="none" w:sz="0" w:space="0" w:color="auto"/>
            <w:left w:val="none" w:sz="0" w:space="0" w:color="auto"/>
            <w:bottom w:val="none" w:sz="0" w:space="0" w:color="auto"/>
            <w:right w:val="none" w:sz="0" w:space="0" w:color="auto"/>
          </w:divBdr>
        </w:div>
        <w:div w:id="2042049840">
          <w:marLeft w:val="0"/>
          <w:marRight w:val="0"/>
          <w:marTop w:val="0"/>
          <w:marBottom w:val="0"/>
          <w:divBdr>
            <w:top w:val="none" w:sz="0" w:space="0" w:color="auto"/>
            <w:left w:val="none" w:sz="0" w:space="0" w:color="auto"/>
            <w:bottom w:val="none" w:sz="0" w:space="0" w:color="auto"/>
            <w:right w:val="none" w:sz="0" w:space="0" w:color="auto"/>
          </w:divBdr>
        </w:div>
        <w:div w:id="2099137266">
          <w:marLeft w:val="0"/>
          <w:marRight w:val="0"/>
          <w:marTop w:val="0"/>
          <w:marBottom w:val="0"/>
          <w:divBdr>
            <w:top w:val="none" w:sz="0" w:space="0" w:color="auto"/>
            <w:left w:val="none" w:sz="0" w:space="0" w:color="auto"/>
            <w:bottom w:val="none" w:sz="0" w:space="0" w:color="auto"/>
            <w:right w:val="none" w:sz="0" w:space="0" w:color="auto"/>
          </w:divBdr>
        </w:div>
      </w:divsChild>
    </w:div>
    <w:div w:id="827476107">
      <w:bodyDiv w:val="1"/>
      <w:marLeft w:val="0"/>
      <w:marRight w:val="0"/>
      <w:marTop w:val="0"/>
      <w:marBottom w:val="0"/>
      <w:divBdr>
        <w:top w:val="none" w:sz="0" w:space="0" w:color="auto"/>
        <w:left w:val="none" w:sz="0" w:space="0" w:color="auto"/>
        <w:bottom w:val="none" w:sz="0" w:space="0" w:color="auto"/>
        <w:right w:val="none" w:sz="0" w:space="0" w:color="auto"/>
      </w:divBdr>
    </w:div>
    <w:div w:id="912008690">
      <w:bodyDiv w:val="1"/>
      <w:marLeft w:val="0"/>
      <w:marRight w:val="0"/>
      <w:marTop w:val="0"/>
      <w:marBottom w:val="0"/>
      <w:divBdr>
        <w:top w:val="none" w:sz="0" w:space="0" w:color="auto"/>
        <w:left w:val="none" w:sz="0" w:space="0" w:color="auto"/>
        <w:bottom w:val="none" w:sz="0" w:space="0" w:color="auto"/>
        <w:right w:val="none" w:sz="0" w:space="0" w:color="auto"/>
      </w:divBdr>
      <w:divsChild>
        <w:div w:id="228417714">
          <w:marLeft w:val="360"/>
          <w:marRight w:val="0"/>
          <w:marTop w:val="200"/>
          <w:marBottom w:val="0"/>
          <w:divBdr>
            <w:top w:val="none" w:sz="0" w:space="0" w:color="auto"/>
            <w:left w:val="none" w:sz="0" w:space="0" w:color="auto"/>
            <w:bottom w:val="none" w:sz="0" w:space="0" w:color="auto"/>
            <w:right w:val="none" w:sz="0" w:space="0" w:color="auto"/>
          </w:divBdr>
        </w:div>
      </w:divsChild>
    </w:div>
    <w:div w:id="913129952">
      <w:bodyDiv w:val="1"/>
      <w:marLeft w:val="0"/>
      <w:marRight w:val="0"/>
      <w:marTop w:val="0"/>
      <w:marBottom w:val="0"/>
      <w:divBdr>
        <w:top w:val="none" w:sz="0" w:space="0" w:color="auto"/>
        <w:left w:val="none" w:sz="0" w:space="0" w:color="auto"/>
        <w:bottom w:val="none" w:sz="0" w:space="0" w:color="auto"/>
        <w:right w:val="none" w:sz="0" w:space="0" w:color="auto"/>
      </w:divBdr>
    </w:div>
    <w:div w:id="919680942">
      <w:bodyDiv w:val="1"/>
      <w:marLeft w:val="0"/>
      <w:marRight w:val="0"/>
      <w:marTop w:val="0"/>
      <w:marBottom w:val="0"/>
      <w:divBdr>
        <w:top w:val="none" w:sz="0" w:space="0" w:color="auto"/>
        <w:left w:val="none" w:sz="0" w:space="0" w:color="auto"/>
        <w:bottom w:val="none" w:sz="0" w:space="0" w:color="auto"/>
        <w:right w:val="none" w:sz="0" w:space="0" w:color="auto"/>
      </w:divBdr>
    </w:div>
    <w:div w:id="962925298">
      <w:bodyDiv w:val="1"/>
      <w:marLeft w:val="0"/>
      <w:marRight w:val="0"/>
      <w:marTop w:val="0"/>
      <w:marBottom w:val="0"/>
      <w:divBdr>
        <w:top w:val="none" w:sz="0" w:space="0" w:color="auto"/>
        <w:left w:val="none" w:sz="0" w:space="0" w:color="auto"/>
        <w:bottom w:val="none" w:sz="0" w:space="0" w:color="auto"/>
        <w:right w:val="none" w:sz="0" w:space="0" w:color="auto"/>
      </w:divBdr>
    </w:div>
    <w:div w:id="1011302630">
      <w:bodyDiv w:val="1"/>
      <w:marLeft w:val="0"/>
      <w:marRight w:val="0"/>
      <w:marTop w:val="0"/>
      <w:marBottom w:val="0"/>
      <w:divBdr>
        <w:top w:val="none" w:sz="0" w:space="0" w:color="auto"/>
        <w:left w:val="none" w:sz="0" w:space="0" w:color="auto"/>
        <w:bottom w:val="none" w:sz="0" w:space="0" w:color="auto"/>
        <w:right w:val="none" w:sz="0" w:space="0" w:color="auto"/>
      </w:divBdr>
      <w:divsChild>
        <w:div w:id="754939934">
          <w:marLeft w:val="0"/>
          <w:marRight w:val="0"/>
          <w:marTop w:val="0"/>
          <w:marBottom w:val="0"/>
          <w:divBdr>
            <w:top w:val="none" w:sz="0" w:space="0" w:color="auto"/>
            <w:left w:val="none" w:sz="0" w:space="0" w:color="auto"/>
            <w:bottom w:val="none" w:sz="0" w:space="0" w:color="auto"/>
            <w:right w:val="none" w:sz="0" w:space="0" w:color="auto"/>
          </w:divBdr>
        </w:div>
        <w:div w:id="976566865">
          <w:marLeft w:val="0"/>
          <w:marRight w:val="0"/>
          <w:marTop w:val="0"/>
          <w:marBottom w:val="0"/>
          <w:divBdr>
            <w:top w:val="none" w:sz="0" w:space="0" w:color="auto"/>
            <w:left w:val="none" w:sz="0" w:space="0" w:color="auto"/>
            <w:bottom w:val="none" w:sz="0" w:space="0" w:color="auto"/>
            <w:right w:val="none" w:sz="0" w:space="0" w:color="auto"/>
          </w:divBdr>
        </w:div>
      </w:divsChild>
    </w:div>
    <w:div w:id="1037701386">
      <w:bodyDiv w:val="1"/>
      <w:marLeft w:val="0"/>
      <w:marRight w:val="0"/>
      <w:marTop w:val="0"/>
      <w:marBottom w:val="0"/>
      <w:divBdr>
        <w:top w:val="none" w:sz="0" w:space="0" w:color="auto"/>
        <w:left w:val="none" w:sz="0" w:space="0" w:color="auto"/>
        <w:bottom w:val="none" w:sz="0" w:space="0" w:color="auto"/>
        <w:right w:val="none" w:sz="0" w:space="0" w:color="auto"/>
      </w:divBdr>
    </w:div>
    <w:div w:id="1085805276">
      <w:bodyDiv w:val="1"/>
      <w:marLeft w:val="0"/>
      <w:marRight w:val="0"/>
      <w:marTop w:val="0"/>
      <w:marBottom w:val="0"/>
      <w:divBdr>
        <w:top w:val="none" w:sz="0" w:space="0" w:color="auto"/>
        <w:left w:val="none" w:sz="0" w:space="0" w:color="auto"/>
        <w:bottom w:val="none" w:sz="0" w:space="0" w:color="auto"/>
        <w:right w:val="none" w:sz="0" w:space="0" w:color="auto"/>
      </w:divBdr>
      <w:divsChild>
        <w:div w:id="246774477">
          <w:marLeft w:val="0"/>
          <w:marRight w:val="0"/>
          <w:marTop w:val="0"/>
          <w:marBottom w:val="0"/>
          <w:divBdr>
            <w:top w:val="none" w:sz="0" w:space="0" w:color="auto"/>
            <w:left w:val="none" w:sz="0" w:space="0" w:color="auto"/>
            <w:bottom w:val="none" w:sz="0" w:space="0" w:color="auto"/>
            <w:right w:val="none" w:sz="0" w:space="0" w:color="auto"/>
          </w:divBdr>
        </w:div>
        <w:div w:id="1010176717">
          <w:marLeft w:val="0"/>
          <w:marRight w:val="0"/>
          <w:marTop w:val="0"/>
          <w:marBottom w:val="0"/>
          <w:divBdr>
            <w:top w:val="none" w:sz="0" w:space="0" w:color="auto"/>
            <w:left w:val="none" w:sz="0" w:space="0" w:color="auto"/>
            <w:bottom w:val="none" w:sz="0" w:space="0" w:color="auto"/>
            <w:right w:val="none" w:sz="0" w:space="0" w:color="auto"/>
          </w:divBdr>
        </w:div>
        <w:div w:id="1266380761">
          <w:marLeft w:val="0"/>
          <w:marRight w:val="0"/>
          <w:marTop w:val="0"/>
          <w:marBottom w:val="0"/>
          <w:divBdr>
            <w:top w:val="none" w:sz="0" w:space="0" w:color="auto"/>
            <w:left w:val="none" w:sz="0" w:space="0" w:color="auto"/>
            <w:bottom w:val="none" w:sz="0" w:space="0" w:color="auto"/>
            <w:right w:val="none" w:sz="0" w:space="0" w:color="auto"/>
          </w:divBdr>
        </w:div>
        <w:div w:id="1423649087">
          <w:marLeft w:val="0"/>
          <w:marRight w:val="0"/>
          <w:marTop w:val="0"/>
          <w:marBottom w:val="0"/>
          <w:divBdr>
            <w:top w:val="none" w:sz="0" w:space="0" w:color="auto"/>
            <w:left w:val="none" w:sz="0" w:space="0" w:color="auto"/>
            <w:bottom w:val="none" w:sz="0" w:space="0" w:color="auto"/>
            <w:right w:val="none" w:sz="0" w:space="0" w:color="auto"/>
          </w:divBdr>
        </w:div>
        <w:div w:id="1454591410">
          <w:marLeft w:val="0"/>
          <w:marRight w:val="0"/>
          <w:marTop w:val="0"/>
          <w:marBottom w:val="0"/>
          <w:divBdr>
            <w:top w:val="none" w:sz="0" w:space="0" w:color="auto"/>
            <w:left w:val="none" w:sz="0" w:space="0" w:color="auto"/>
            <w:bottom w:val="none" w:sz="0" w:space="0" w:color="auto"/>
            <w:right w:val="none" w:sz="0" w:space="0" w:color="auto"/>
          </w:divBdr>
        </w:div>
        <w:div w:id="1959019180">
          <w:marLeft w:val="0"/>
          <w:marRight w:val="0"/>
          <w:marTop w:val="0"/>
          <w:marBottom w:val="0"/>
          <w:divBdr>
            <w:top w:val="none" w:sz="0" w:space="0" w:color="auto"/>
            <w:left w:val="none" w:sz="0" w:space="0" w:color="auto"/>
            <w:bottom w:val="none" w:sz="0" w:space="0" w:color="auto"/>
            <w:right w:val="none" w:sz="0" w:space="0" w:color="auto"/>
          </w:divBdr>
        </w:div>
      </w:divsChild>
    </w:div>
    <w:div w:id="1105272655">
      <w:bodyDiv w:val="1"/>
      <w:marLeft w:val="0"/>
      <w:marRight w:val="0"/>
      <w:marTop w:val="0"/>
      <w:marBottom w:val="0"/>
      <w:divBdr>
        <w:top w:val="none" w:sz="0" w:space="0" w:color="auto"/>
        <w:left w:val="none" w:sz="0" w:space="0" w:color="auto"/>
        <w:bottom w:val="none" w:sz="0" w:space="0" w:color="auto"/>
        <w:right w:val="none" w:sz="0" w:space="0" w:color="auto"/>
      </w:divBdr>
      <w:divsChild>
        <w:div w:id="26101467">
          <w:marLeft w:val="0"/>
          <w:marRight w:val="0"/>
          <w:marTop w:val="0"/>
          <w:marBottom w:val="0"/>
          <w:divBdr>
            <w:top w:val="none" w:sz="0" w:space="0" w:color="auto"/>
            <w:left w:val="none" w:sz="0" w:space="0" w:color="auto"/>
            <w:bottom w:val="none" w:sz="0" w:space="0" w:color="auto"/>
            <w:right w:val="none" w:sz="0" w:space="0" w:color="auto"/>
          </w:divBdr>
        </w:div>
        <w:div w:id="301010769">
          <w:marLeft w:val="0"/>
          <w:marRight w:val="0"/>
          <w:marTop w:val="0"/>
          <w:marBottom w:val="0"/>
          <w:divBdr>
            <w:top w:val="none" w:sz="0" w:space="0" w:color="auto"/>
            <w:left w:val="none" w:sz="0" w:space="0" w:color="auto"/>
            <w:bottom w:val="none" w:sz="0" w:space="0" w:color="auto"/>
            <w:right w:val="none" w:sz="0" w:space="0" w:color="auto"/>
          </w:divBdr>
        </w:div>
        <w:div w:id="488059555">
          <w:marLeft w:val="0"/>
          <w:marRight w:val="0"/>
          <w:marTop w:val="0"/>
          <w:marBottom w:val="0"/>
          <w:divBdr>
            <w:top w:val="none" w:sz="0" w:space="0" w:color="auto"/>
            <w:left w:val="none" w:sz="0" w:space="0" w:color="auto"/>
            <w:bottom w:val="none" w:sz="0" w:space="0" w:color="auto"/>
            <w:right w:val="none" w:sz="0" w:space="0" w:color="auto"/>
          </w:divBdr>
        </w:div>
        <w:div w:id="571962705">
          <w:marLeft w:val="0"/>
          <w:marRight w:val="0"/>
          <w:marTop w:val="0"/>
          <w:marBottom w:val="0"/>
          <w:divBdr>
            <w:top w:val="none" w:sz="0" w:space="0" w:color="auto"/>
            <w:left w:val="none" w:sz="0" w:space="0" w:color="auto"/>
            <w:bottom w:val="none" w:sz="0" w:space="0" w:color="auto"/>
            <w:right w:val="none" w:sz="0" w:space="0" w:color="auto"/>
          </w:divBdr>
        </w:div>
        <w:div w:id="598441950">
          <w:marLeft w:val="0"/>
          <w:marRight w:val="0"/>
          <w:marTop w:val="0"/>
          <w:marBottom w:val="0"/>
          <w:divBdr>
            <w:top w:val="none" w:sz="0" w:space="0" w:color="auto"/>
            <w:left w:val="none" w:sz="0" w:space="0" w:color="auto"/>
            <w:bottom w:val="none" w:sz="0" w:space="0" w:color="auto"/>
            <w:right w:val="none" w:sz="0" w:space="0" w:color="auto"/>
          </w:divBdr>
        </w:div>
        <w:div w:id="848058689">
          <w:marLeft w:val="0"/>
          <w:marRight w:val="0"/>
          <w:marTop w:val="0"/>
          <w:marBottom w:val="0"/>
          <w:divBdr>
            <w:top w:val="none" w:sz="0" w:space="0" w:color="auto"/>
            <w:left w:val="none" w:sz="0" w:space="0" w:color="auto"/>
            <w:bottom w:val="none" w:sz="0" w:space="0" w:color="auto"/>
            <w:right w:val="none" w:sz="0" w:space="0" w:color="auto"/>
          </w:divBdr>
        </w:div>
        <w:div w:id="878664290">
          <w:marLeft w:val="0"/>
          <w:marRight w:val="0"/>
          <w:marTop w:val="0"/>
          <w:marBottom w:val="0"/>
          <w:divBdr>
            <w:top w:val="none" w:sz="0" w:space="0" w:color="auto"/>
            <w:left w:val="none" w:sz="0" w:space="0" w:color="auto"/>
            <w:bottom w:val="none" w:sz="0" w:space="0" w:color="auto"/>
            <w:right w:val="none" w:sz="0" w:space="0" w:color="auto"/>
          </w:divBdr>
        </w:div>
        <w:div w:id="898831864">
          <w:marLeft w:val="0"/>
          <w:marRight w:val="0"/>
          <w:marTop w:val="0"/>
          <w:marBottom w:val="0"/>
          <w:divBdr>
            <w:top w:val="none" w:sz="0" w:space="0" w:color="auto"/>
            <w:left w:val="none" w:sz="0" w:space="0" w:color="auto"/>
            <w:bottom w:val="none" w:sz="0" w:space="0" w:color="auto"/>
            <w:right w:val="none" w:sz="0" w:space="0" w:color="auto"/>
          </w:divBdr>
        </w:div>
        <w:div w:id="1095898790">
          <w:marLeft w:val="0"/>
          <w:marRight w:val="0"/>
          <w:marTop w:val="0"/>
          <w:marBottom w:val="0"/>
          <w:divBdr>
            <w:top w:val="none" w:sz="0" w:space="0" w:color="auto"/>
            <w:left w:val="none" w:sz="0" w:space="0" w:color="auto"/>
            <w:bottom w:val="none" w:sz="0" w:space="0" w:color="auto"/>
            <w:right w:val="none" w:sz="0" w:space="0" w:color="auto"/>
          </w:divBdr>
        </w:div>
        <w:div w:id="1116605599">
          <w:marLeft w:val="0"/>
          <w:marRight w:val="0"/>
          <w:marTop w:val="0"/>
          <w:marBottom w:val="0"/>
          <w:divBdr>
            <w:top w:val="none" w:sz="0" w:space="0" w:color="auto"/>
            <w:left w:val="none" w:sz="0" w:space="0" w:color="auto"/>
            <w:bottom w:val="none" w:sz="0" w:space="0" w:color="auto"/>
            <w:right w:val="none" w:sz="0" w:space="0" w:color="auto"/>
          </w:divBdr>
        </w:div>
        <w:div w:id="1317878423">
          <w:marLeft w:val="0"/>
          <w:marRight w:val="0"/>
          <w:marTop w:val="0"/>
          <w:marBottom w:val="0"/>
          <w:divBdr>
            <w:top w:val="none" w:sz="0" w:space="0" w:color="auto"/>
            <w:left w:val="none" w:sz="0" w:space="0" w:color="auto"/>
            <w:bottom w:val="none" w:sz="0" w:space="0" w:color="auto"/>
            <w:right w:val="none" w:sz="0" w:space="0" w:color="auto"/>
          </w:divBdr>
        </w:div>
        <w:div w:id="1320813997">
          <w:marLeft w:val="0"/>
          <w:marRight w:val="0"/>
          <w:marTop w:val="0"/>
          <w:marBottom w:val="0"/>
          <w:divBdr>
            <w:top w:val="none" w:sz="0" w:space="0" w:color="auto"/>
            <w:left w:val="none" w:sz="0" w:space="0" w:color="auto"/>
            <w:bottom w:val="none" w:sz="0" w:space="0" w:color="auto"/>
            <w:right w:val="none" w:sz="0" w:space="0" w:color="auto"/>
          </w:divBdr>
        </w:div>
        <w:div w:id="1329555536">
          <w:marLeft w:val="0"/>
          <w:marRight w:val="0"/>
          <w:marTop w:val="0"/>
          <w:marBottom w:val="0"/>
          <w:divBdr>
            <w:top w:val="none" w:sz="0" w:space="0" w:color="auto"/>
            <w:left w:val="none" w:sz="0" w:space="0" w:color="auto"/>
            <w:bottom w:val="none" w:sz="0" w:space="0" w:color="auto"/>
            <w:right w:val="none" w:sz="0" w:space="0" w:color="auto"/>
          </w:divBdr>
        </w:div>
        <w:div w:id="1418670480">
          <w:marLeft w:val="0"/>
          <w:marRight w:val="0"/>
          <w:marTop w:val="0"/>
          <w:marBottom w:val="0"/>
          <w:divBdr>
            <w:top w:val="none" w:sz="0" w:space="0" w:color="auto"/>
            <w:left w:val="none" w:sz="0" w:space="0" w:color="auto"/>
            <w:bottom w:val="none" w:sz="0" w:space="0" w:color="auto"/>
            <w:right w:val="none" w:sz="0" w:space="0" w:color="auto"/>
          </w:divBdr>
        </w:div>
        <w:div w:id="1437290436">
          <w:marLeft w:val="0"/>
          <w:marRight w:val="0"/>
          <w:marTop w:val="0"/>
          <w:marBottom w:val="0"/>
          <w:divBdr>
            <w:top w:val="none" w:sz="0" w:space="0" w:color="auto"/>
            <w:left w:val="none" w:sz="0" w:space="0" w:color="auto"/>
            <w:bottom w:val="none" w:sz="0" w:space="0" w:color="auto"/>
            <w:right w:val="none" w:sz="0" w:space="0" w:color="auto"/>
          </w:divBdr>
        </w:div>
        <w:div w:id="1441222544">
          <w:marLeft w:val="0"/>
          <w:marRight w:val="0"/>
          <w:marTop w:val="0"/>
          <w:marBottom w:val="0"/>
          <w:divBdr>
            <w:top w:val="none" w:sz="0" w:space="0" w:color="auto"/>
            <w:left w:val="none" w:sz="0" w:space="0" w:color="auto"/>
            <w:bottom w:val="none" w:sz="0" w:space="0" w:color="auto"/>
            <w:right w:val="none" w:sz="0" w:space="0" w:color="auto"/>
          </w:divBdr>
        </w:div>
        <w:div w:id="1515218731">
          <w:marLeft w:val="0"/>
          <w:marRight w:val="0"/>
          <w:marTop w:val="0"/>
          <w:marBottom w:val="0"/>
          <w:divBdr>
            <w:top w:val="none" w:sz="0" w:space="0" w:color="auto"/>
            <w:left w:val="none" w:sz="0" w:space="0" w:color="auto"/>
            <w:bottom w:val="none" w:sz="0" w:space="0" w:color="auto"/>
            <w:right w:val="none" w:sz="0" w:space="0" w:color="auto"/>
          </w:divBdr>
        </w:div>
        <w:div w:id="2033724568">
          <w:marLeft w:val="0"/>
          <w:marRight w:val="0"/>
          <w:marTop w:val="0"/>
          <w:marBottom w:val="0"/>
          <w:divBdr>
            <w:top w:val="none" w:sz="0" w:space="0" w:color="auto"/>
            <w:left w:val="none" w:sz="0" w:space="0" w:color="auto"/>
            <w:bottom w:val="none" w:sz="0" w:space="0" w:color="auto"/>
            <w:right w:val="none" w:sz="0" w:space="0" w:color="auto"/>
          </w:divBdr>
        </w:div>
        <w:div w:id="2134208854">
          <w:marLeft w:val="0"/>
          <w:marRight w:val="0"/>
          <w:marTop w:val="0"/>
          <w:marBottom w:val="0"/>
          <w:divBdr>
            <w:top w:val="none" w:sz="0" w:space="0" w:color="auto"/>
            <w:left w:val="none" w:sz="0" w:space="0" w:color="auto"/>
            <w:bottom w:val="none" w:sz="0" w:space="0" w:color="auto"/>
            <w:right w:val="none" w:sz="0" w:space="0" w:color="auto"/>
          </w:divBdr>
        </w:div>
        <w:div w:id="2134521797">
          <w:marLeft w:val="0"/>
          <w:marRight w:val="0"/>
          <w:marTop w:val="0"/>
          <w:marBottom w:val="0"/>
          <w:divBdr>
            <w:top w:val="none" w:sz="0" w:space="0" w:color="auto"/>
            <w:left w:val="none" w:sz="0" w:space="0" w:color="auto"/>
            <w:bottom w:val="none" w:sz="0" w:space="0" w:color="auto"/>
            <w:right w:val="none" w:sz="0" w:space="0" w:color="auto"/>
          </w:divBdr>
        </w:div>
      </w:divsChild>
    </w:div>
    <w:div w:id="1119496881">
      <w:bodyDiv w:val="1"/>
      <w:marLeft w:val="0"/>
      <w:marRight w:val="0"/>
      <w:marTop w:val="0"/>
      <w:marBottom w:val="0"/>
      <w:divBdr>
        <w:top w:val="none" w:sz="0" w:space="0" w:color="auto"/>
        <w:left w:val="none" w:sz="0" w:space="0" w:color="auto"/>
        <w:bottom w:val="none" w:sz="0" w:space="0" w:color="auto"/>
        <w:right w:val="none" w:sz="0" w:space="0" w:color="auto"/>
      </w:divBdr>
    </w:div>
    <w:div w:id="1136340943">
      <w:bodyDiv w:val="1"/>
      <w:marLeft w:val="0"/>
      <w:marRight w:val="0"/>
      <w:marTop w:val="0"/>
      <w:marBottom w:val="0"/>
      <w:divBdr>
        <w:top w:val="none" w:sz="0" w:space="0" w:color="auto"/>
        <w:left w:val="none" w:sz="0" w:space="0" w:color="auto"/>
        <w:bottom w:val="none" w:sz="0" w:space="0" w:color="auto"/>
        <w:right w:val="none" w:sz="0" w:space="0" w:color="auto"/>
      </w:divBdr>
      <w:divsChild>
        <w:div w:id="352059">
          <w:marLeft w:val="0"/>
          <w:marRight w:val="0"/>
          <w:marTop w:val="0"/>
          <w:marBottom w:val="0"/>
          <w:divBdr>
            <w:top w:val="none" w:sz="0" w:space="0" w:color="auto"/>
            <w:left w:val="none" w:sz="0" w:space="0" w:color="auto"/>
            <w:bottom w:val="none" w:sz="0" w:space="0" w:color="auto"/>
            <w:right w:val="none" w:sz="0" w:space="0" w:color="auto"/>
          </w:divBdr>
        </w:div>
        <w:div w:id="152331730">
          <w:marLeft w:val="0"/>
          <w:marRight w:val="0"/>
          <w:marTop w:val="0"/>
          <w:marBottom w:val="0"/>
          <w:divBdr>
            <w:top w:val="none" w:sz="0" w:space="0" w:color="auto"/>
            <w:left w:val="none" w:sz="0" w:space="0" w:color="auto"/>
            <w:bottom w:val="none" w:sz="0" w:space="0" w:color="auto"/>
            <w:right w:val="none" w:sz="0" w:space="0" w:color="auto"/>
          </w:divBdr>
        </w:div>
        <w:div w:id="238174723">
          <w:marLeft w:val="0"/>
          <w:marRight w:val="0"/>
          <w:marTop w:val="0"/>
          <w:marBottom w:val="0"/>
          <w:divBdr>
            <w:top w:val="none" w:sz="0" w:space="0" w:color="auto"/>
            <w:left w:val="none" w:sz="0" w:space="0" w:color="auto"/>
            <w:bottom w:val="none" w:sz="0" w:space="0" w:color="auto"/>
            <w:right w:val="none" w:sz="0" w:space="0" w:color="auto"/>
          </w:divBdr>
        </w:div>
        <w:div w:id="242682756">
          <w:marLeft w:val="0"/>
          <w:marRight w:val="0"/>
          <w:marTop w:val="0"/>
          <w:marBottom w:val="0"/>
          <w:divBdr>
            <w:top w:val="none" w:sz="0" w:space="0" w:color="auto"/>
            <w:left w:val="none" w:sz="0" w:space="0" w:color="auto"/>
            <w:bottom w:val="none" w:sz="0" w:space="0" w:color="auto"/>
            <w:right w:val="none" w:sz="0" w:space="0" w:color="auto"/>
          </w:divBdr>
        </w:div>
        <w:div w:id="248971406">
          <w:marLeft w:val="0"/>
          <w:marRight w:val="0"/>
          <w:marTop w:val="0"/>
          <w:marBottom w:val="0"/>
          <w:divBdr>
            <w:top w:val="none" w:sz="0" w:space="0" w:color="auto"/>
            <w:left w:val="none" w:sz="0" w:space="0" w:color="auto"/>
            <w:bottom w:val="none" w:sz="0" w:space="0" w:color="auto"/>
            <w:right w:val="none" w:sz="0" w:space="0" w:color="auto"/>
          </w:divBdr>
        </w:div>
        <w:div w:id="566720528">
          <w:marLeft w:val="0"/>
          <w:marRight w:val="0"/>
          <w:marTop w:val="0"/>
          <w:marBottom w:val="0"/>
          <w:divBdr>
            <w:top w:val="none" w:sz="0" w:space="0" w:color="auto"/>
            <w:left w:val="none" w:sz="0" w:space="0" w:color="auto"/>
            <w:bottom w:val="none" w:sz="0" w:space="0" w:color="auto"/>
            <w:right w:val="none" w:sz="0" w:space="0" w:color="auto"/>
          </w:divBdr>
        </w:div>
        <w:div w:id="625507192">
          <w:marLeft w:val="0"/>
          <w:marRight w:val="0"/>
          <w:marTop w:val="0"/>
          <w:marBottom w:val="0"/>
          <w:divBdr>
            <w:top w:val="none" w:sz="0" w:space="0" w:color="auto"/>
            <w:left w:val="none" w:sz="0" w:space="0" w:color="auto"/>
            <w:bottom w:val="none" w:sz="0" w:space="0" w:color="auto"/>
            <w:right w:val="none" w:sz="0" w:space="0" w:color="auto"/>
          </w:divBdr>
        </w:div>
        <w:div w:id="819426594">
          <w:marLeft w:val="0"/>
          <w:marRight w:val="0"/>
          <w:marTop w:val="0"/>
          <w:marBottom w:val="0"/>
          <w:divBdr>
            <w:top w:val="none" w:sz="0" w:space="0" w:color="auto"/>
            <w:left w:val="none" w:sz="0" w:space="0" w:color="auto"/>
            <w:bottom w:val="none" w:sz="0" w:space="0" w:color="auto"/>
            <w:right w:val="none" w:sz="0" w:space="0" w:color="auto"/>
          </w:divBdr>
        </w:div>
        <w:div w:id="948588025">
          <w:marLeft w:val="0"/>
          <w:marRight w:val="0"/>
          <w:marTop w:val="0"/>
          <w:marBottom w:val="0"/>
          <w:divBdr>
            <w:top w:val="none" w:sz="0" w:space="0" w:color="auto"/>
            <w:left w:val="none" w:sz="0" w:space="0" w:color="auto"/>
            <w:bottom w:val="none" w:sz="0" w:space="0" w:color="auto"/>
            <w:right w:val="none" w:sz="0" w:space="0" w:color="auto"/>
          </w:divBdr>
        </w:div>
        <w:div w:id="968900240">
          <w:marLeft w:val="0"/>
          <w:marRight w:val="0"/>
          <w:marTop w:val="0"/>
          <w:marBottom w:val="0"/>
          <w:divBdr>
            <w:top w:val="none" w:sz="0" w:space="0" w:color="auto"/>
            <w:left w:val="none" w:sz="0" w:space="0" w:color="auto"/>
            <w:bottom w:val="none" w:sz="0" w:space="0" w:color="auto"/>
            <w:right w:val="none" w:sz="0" w:space="0" w:color="auto"/>
          </w:divBdr>
        </w:div>
        <w:div w:id="1006327752">
          <w:marLeft w:val="0"/>
          <w:marRight w:val="0"/>
          <w:marTop w:val="0"/>
          <w:marBottom w:val="0"/>
          <w:divBdr>
            <w:top w:val="none" w:sz="0" w:space="0" w:color="auto"/>
            <w:left w:val="none" w:sz="0" w:space="0" w:color="auto"/>
            <w:bottom w:val="none" w:sz="0" w:space="0" w:color="auto"/>
            <w:right w:val="none" w:sz="0" w:space="0" w:color="auto"/>
          </w:divBdr>
        </w:div>
        <w:div w:id="1025525279">
          <w:marLeft w:val="0"/>
          <w:marRight w:val="0"/>
          <w:marTop w:val="0"/>
          <w:marBottom w:val="0"/>
          <w:divBdr>
            <w:top w:val="none" w:sz="0" w:space="0" w:color="auto"/>
            <w:left w:val="none" w:sz="0" w:space="0" w:color="auto"/>
            <w:bottom w:val="none" w:sz="0" w:space="0" w:color="auto"/>
            <w:right w:val="none" w:sz="0" w:space="0" w:color="auto"/>
          </w:divBdr>
        </w:div>
        <w:div w:id="1099761871">
          <w:marLeft w:val="0"/>
          <w:marRight w:val="0"/>
          <w:marTop w:val="0"/>
          <w:marBottom w:val="0"/>
          <w:divBdr>
            <w:top w:val="none" w:sz="0" w:space="0" w:color="auto"/>
            <w:left w:val="none" w:sz="0" w:space="0" w:color="auto"/>
            <w:bottom w:val="none" w:sz="0" w:space="0" w:color="auto"/>
            <w:right w:val="none" w:sz="0" w:space="0" w:color="auto"/>
          </w:divBdr>
        </w:div>
        <w:div w:id="1144273894">
          <w:marLeft w:val="0"/>
          <w:marRight w:val="0"/>
          <w:marTop w:val="0"/>
          <w:marBottom w:val="0"/>
          <w:divBdr>
            <w:top w:val="none" w:sz="0" w:space="0" w:color="auto"/>
            <w:left w:val="none" w:sz="0" w:space="0" w:color="auto"/>
            <w:bottom w:val="none" w:sz="0" w:space="0" w:color="auto"/>
            <w:right w:val="none" w:sz="0" w:space="0" w:color="auto"/>
          </w:divBdr>
        </w:div>
        <w:div w:id="1219971307">
          <w:marLeft w:val="0"/>
          <w:marRight w:val="0"/>
          <w:marTop w:val="0"/>
          <w:marBottom w:val="0"/>
          <w:divBdr>
            <w:top w:val="none" w:sz="0" w:space="0" w:color="auto"/>
            <w:left w:val="none" w:sz="0" w:space="0" w:color="auto"/>
            <w:bottom w:val="none" w:sz="0" w:space="0" w:color="auto"/>
            <w:right w:val="none" w:sz="0" w:space="0" w:color="auto"/>
          </w:divBdr>
        </w:div>
        <w:div w:id="1327903596">
          <w:marLeft w:val="0"/>
          <w:marRight w:val="0"/>
          <w:marTop w:val="0"/>
          <w:marBottom w:val="0"/>
          <w:divBdr>
            <w:top w:val="none" w:sz="0" w:space="0" w:color="auto"/>
            <w:left w:val="none" w:sz="0" w:space="0" w:color="auto"/>
            <w:bottom w:val="none" w:sz="0" w:space="0" w:color="auto"/>
            <w:right w:val="none" w:sz="0" w:space="0" w:color="auto"/>
          </w:divBdr>
        </w:div>
        <w:div w:id="1341396967">
          <w:marLeft w:val="0"/>
          <w:marRight w:val="0"/>
          <w:marTop w:val="0"/>
          <w:marBottom w:val="0"/>
          <w:divBdr>
            <w:top w:val="none" w:sz="0" w:space="0" w:color="auto"/>
            <w:left w:val="none" w:sz="0" w:space="0" w:color="auto"/>
            <w:bottom w:val="none" w:sz="0" w:space="0" w:color="auto"/>
            <w:right w:val="none" w:sz="0" w:space="0" w:color="auto"/>
          </w:divBdr>
        </w:div>
        <w:div w:id="1420833434">
          <w:marLeft w:val="0"/>
          <w:marRight w:val="0"/>
          <w:marTop w:val="0"/>
          <w:marBottom w:val="0"/>
          <w:divBdr>
            <w:top w:val="none" w:sz="0" w:space="0" w:color="auto"/>
            <w:left w:val="none" w:sz="0" w:space="0" w:color="auto"/>
            <w:bottom w:val="none" w:sz="0" w:space="0" w:color="auto"/>
            <w:right w:val="none" w:sz="0" w:space="0" w:color="auto"/>
          </w:divBdr>
        </w:div>
        <w:div w:id="1450007858">
          <w:marLeft w:val="0"/>
          <w:marRight w:val="0"/>
          <w:marTop w:val="0"/>
          <w:marBottom w:val="0"/>
          <w:divBdr>
            <w:top w:val="none" w:sz="0" w:space="0" w:color="auto"/>
            <w:left w:val="none" w:sz="0" w:space="0" w:color="auto"/>
            <w:bottom w:val="none" w:sz="0" w:space="0" w:color="auto"/>
            <w:right w:val="none" w:sz="0" w:space="0" w:color="auto"/>
          </w:divBdr>
        </w:div>
        <w:div w:id="1698460367">
          <w:marLeft w:val="0"/>
          <w:marRight w:val="0"/>
          <w:marTop w:val="0"/>
          <w:marBottom w:val="0"/>
          <w:divBdr>
            <w:top w:val="none" w:sz="0" w:space="0" w:color="auto"/>
            <w:left w:val="none" w:sz="0" w:space="0" w:color="auto"/>
            <w:bottom w:val="none" w:sz="0" w:space="0" w:color="auto"/>
            <w:right w:val="none" w:sz="0" w:space="0" w:color="auto"/>
          </w:divBdr>
        </w:div>
        <w:div w:id="1701467155">
          <w:marLeft w:val="0"/>
          <w:marRight w:val="0"/>
          <w:marTop w:val="0"/>
          <w:marBottom w:val="0"/>
          <w:divBdr>
            <w:top w:val="none" w:sz="0" w:space="0" w:color="auto"/>
            <w:left w:val="none" w:sz="0" w:space="0" w:color="auto"/>
            <w:bottom w:val="none" w:sz="0" w:space="0" w:color="auto"/>
            <w:right w:val="none" w:sz="0" w:space="0" w:color="auto"/>
          </w:divBdr>
        </w:div>
        <w:div w:id="1900703206">
          <w:marLeft w:val="0"/>
          <w:marRight w:val="0"/>
          <w:marTop w:val="0"/>
          <w:marBottom w:val="0"/>
          <w:divBdr>
            <w:top w:val="none" w:sz="0" w:space="0" w:color="auto"/>
            <w:left w:val="none" w:sz="0" w:space="0" w:color="auto"/>
            <w:bottom w:val="none" w:sz="0" w:space="0" w:color="auto"/>
            <w:right w:val="none" w:sz="0" w:space="0" w:color="auto"/>
          </w:divBdr>
        </w:div>
        <w:div w:id="1942225215">
          <w:marLeft w:val="0"/>
          <w:marRight w:val="0"/>
          <w:marTop w:val="0"/>
          <w:marBottom w:val="0"/>
          <w:divBdr>
            <w:top w:val="none" w:sz="0" w:space="0" w:color="auto"/>
            <w:left w:val="none" w:sz="0" w:space="0" w:color="auto"/>
            <w:bottom w:val="none" w:sz="0" w:space="0" w:color="auto"/>
            <w:right w:val="none" w:sz="0" w:space="0" w:color="auto"/>
          </w:divBdr>
        </w:div>
        <w:div w:id="1951935631">
          <w:marLeft w:val="0"/>
          <w:marRight w:val="0"/>
          <w:marTop w:val="0"/>
          <w:marBottom w:val="0"/>
          <w:divBdr>
            <w:top w:val="none" w:sz="0" w:space="0" w:color="auto"/>
            <w:left w:val="none" w:sz="0" w:space="0" w:color="auto"/>
            <w:bottom w:val="none" w:sz="0" w:space="0" w:color="auto"/>
            <w:right w:val="none" w:sz="0" w:space="0" w:color="auto"/>
          </w:divBdr>
        </w:div>
        <w:div w:id="1959798993">
          <w:marLeft w:val="0"/>
          <w:marRight w:val="0"/>
          <w:marTop w:val="0"/>
          <w:marBottom w:val="0"/>
          <w:divBdr>
            <w:top w:val="none" w:sz="0" w:space="0" w:color="auto"/>
            <w:left w:val="none" w:sz="0" w:space="0" w:color="auto"/>
            <w:bottom w:val="none" w:sz="0" w:space="0" w:color="auto"/>
            <w:right w:val="none" w:sz="0" w:space="0" w:color="auto"/>
          </w:divBdr>
        </w:div>
        <w:div w:id="2042124595">
          <w:marLeft w:val="0"/>
          <w:marRight w:val="0"/>
          <w:marTop w:val="0"/>
          <w:marBottom w:val="0"/>
          <w:divBdr>
            <w:top w:val="none" w:sz="0" w:space="0" w:color="auto"/>
            <w:left w:val="none" w:sz="0" w:space="0" w:color="auto"/>
            <w:bottom w:val="none" w:sz="0" w:space="0" w:color="auto"/>
            <w:right w:val="none" w:sz="0" w:space="0" w:color="auto"/>
          </w:divBdr>
        </w:div>
        <w:div w:id="2072383625">
          <w:marLeft w:val="0"/>
          <w:marRight w:val="0"/>
          <w:marTop w:val="0"/>
          <w:marBottom w:val="0"/>
          <w:divBdr>
            <w:top w:val="none" w:sz="0" w:space="0" w:color="auto"/>
            <w:left w:val="none" w:sz="0" w:space="0" w:color="auto"/>
            <w:bottom w:val="none" w:sz="0" w:space="0" w:color="auto"/>
            <w:right w:val="none" w:sz="0" w:space="0" w:color="auto"/>
          </w:divBdr>
        </w:div>
        <w:div w:id="2083790965">
          <w:marLeft w:val="0"/>
          <w:marRight w:val="0"/>
          <w:marTop w:val="0"/>
          <w:marBottom w:val="0"/>
          <w:divBdr>
            <w:top w:val="none" w:sz="0" w:space="0" w:color="auto"/>
            <w:left w:val="none" w:sz="0" w:space="0" w:color="auto"/>
            <w:bottom w:val="none" w:sz="0" w:space="0" w:color="auto"/>
            <w:right w:val="none" w:sz="0" w:space="0" w:color="auto"/>
          </w:divBdr>
        </w:div>
      </w:divsChild>
    </w:div>
    <w:div w:id="1138688662">
      <w:bodyDiv w:val="1"/>
      <w:marLeft w:val="0"/>
      <w:marRight w:val="0"/>
      <w:marTop w:val="0"/>
      <w:marBottom w:val="0"/>
      <w:divBdr>
        <w:top w:val="none" w:sz="0" w:space="0" w:color="auto"/>
        <w:left w:val="none" w:sz="0" w:space="0" w:color="auto"/>
        <w:bottom w:val="none" w:sz="0" w:space="0" w:color="auto"/>
        <w:right w:val="none" w:sz="0" w:space="0" w:color="auto"/>
      </w:divBdr>
    </w:div>
    <w:div w:id="1138841823">
      <w:bodyDiv w:val="1"/>
      <w:marLeft w:val="0"/>
      <w:marRight w:val="0"/>
      <w:marTop w:val="0"/>
      <w:marBottom w:val="0"/>
      <w:divBdr>
        <w:top w:val="none" w:sz="0" w:space="0" w:color="auto"/>
        <w:left w:val="none" w:sz="0" w:space="0" w:color="auto"/>
        <w:bottom w:val="none" w:sz="0" w:space="0" w:color="auto"/>
        <w:right w:val="none" w:sz="0" w:space="0" w:color="auto"/>
      </w:divBdr>
      <w:divsChild>
        <w:div w:id="51082834">
          <w:marLeft w:val="0"/>
          <w:marRight w:val="0"/>
          <w:marTop w:val="0"/>
          <w:marBottom w:val="0"/>
          <w:divBdr>
            <w:top w:val="none" w:sz="0" w:space="0" w:color="auto"/>
            <w:left w:val="none" w:sz="0" w:space="0" w:color="auto"/>
            <w:bottom w:val="none" w:sz="0" w:space="0" w:color="auto"/>
            <w:right w:val="none" w:sz="0" w:space="0" w:color="auto"/>
          </w:divBdr>
          <w:divsChild>
            <w:div w:id="1798985050">
              <w:marLeft w:val="0"/>
              <w:marRight w:val="0"/>
              <w:marTop w:val="0"/>
              <w:marBottom w:val="0"/>
              <w:divBdr>
                <w:top w:val="none" w:sz="0" w:space="0" w:color="auto"/>
                <w:left w:val="none" w:sz="0" w:space="0" w:color="auto"/>
                <w:bottom w:val="none" w:sz="0" w:space="0" w:color="auto"/>
                <w:right w:val="none" w:sz="0" w:space="0" w:color="auto"/>
              </w:divBdr>
              <w:divsChild>
                <w:div w:id="2090349251">
                  <w:marLeft w:val="0"/>
                  <w:marRight w:val="0"/>
                  <w:marTop w:val="0"/>
                  <w:marBottom w:val="0"/>
                  <w:divBdr>
                    <w:top w:val="none" w:sz="0" w:space="0" w:color="auto"/>
                    <w:left w:val="none" w:sz="0" w:space="0" w:color="auto"/>
                    <w:bottom w:val="none" w:sz="0" w:space="0" w:color="auto"/>
                    <w:right w:val="none" w:sz="0" w:space="0" w:color="auto"/>
                  </w:divBdr>
                  <w:divsChild>
                    <w:div w:id="1028988670">
                      <w:marLeft w:val="0"/>
                      <w:marRight w:val="0"/>
                      <w:marTop w:val="0"/>
                      <w:marBottom w:val="0"/>
                      <w:divBdr>
                        <w:top w:val="none" w:sz="0" w:space="0" w:color="auto"/>
                        <w:left w:val="none" w:sz="0" w:space="0" w:color="auto"/>
                        <w:bottom w:val="none" w:sz="0" w:space="0" w:color="auto"/>
                        <w:right w:val="none" w:sz="0" w:space="0" w:color="auto"/>
                      </w:divBdr>
                      <w:divsChild>
                        <w:div w:id="870188811">
                          <w:marLeft w:val="0"/>
                          <w:marRight w:val="0"/>
                          <w:marTop w:val="0"/>
                          <w:marBottom w:val="0"/>
                          <w:divBdr>
                            <w:top w:val="none" w:sz="0" w:space="0" w:color="auto"/>
                            <w:left w:val="none" w:sz="0" w:space="0" w:color="auto"/>
                            <w:bottom w:val="none" w:sz="0" w:space="0" w:color="auto"/>
                            <w:right w:val="none" w:sz="0" w:space="0" w:color="auto"/>
                          </w:divBdr>
                          <w:divsChild>
                            <w:div w:id="15363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3725">
          <w:marLeft w:val="0"/>
          <w:marRight w:val="0"/>
          <w:marTop w:val="0"/>
          <w:marBottom w:val="0"/>
          <w:divBdr>
            <w:top w:val="none" w:sz="0" w:space="0" w:color="auto"/>
            <w:left w:val="none" w:sz="0" w:space="0" w:color="auto"/>
            <w:bottom w:val="none" w:sz="0" w:space="0" w:color="auto"/>
            <w:right w:val="none" w:sz="0" w:space="0" w:color="auto"/>
          </w:divBdr>
          <w:divsChild>
            <w:div w:id="1709724302">
              <w:marLeft w:val="0"/>
              <w:marRight w:val="0"/>
              <w:marTop w:val="0"/>
              <w:marBottom w:val="0"/>
              <w:divBdr>
                <w:top w:val="none" w:sz="0" w:space="0" w:color="auto"/>
                <w:left w:val="none" w:sz="0" w:space="0" w:color="auto"/>
                <w:bottom w:val="none" w:sz="0" w:space="0" w:color="auto"/>
                <w:right w:val="none" w:sz="0" w:space="0" w:color="auto"/>
              </w:divBdr>
              <w:divsChild>
                <w:div w:id="339898101">
                  <w:marLeft w:val="0"/>
                  <w:marRight w:val="0"/>
                  <w:marTop w:val="0"/>
                  <w:marBottom w:val="0"/>
                  <w:divBdr>
                    <w:top w:val="none" w:sz="0" w:space="0" w:color="auto"/>
                    <w:left w:val="none" w:sz="0" w:space="0" w:color="auto"/>
                    <w:bottom w:val="none" w:sz="0" w:space="0" w:color="auto"/>
                    <w:right w:val="none" w:sz="0" w:space="0" w:color="auto"/>
                  </w:divBdr>
                  <w:divsChild>
                    <w:div w:id="522939930">
                      <w:marLeft w:val="0"/>
                      <w:marRight w:val="0"/>
                      <w:marTop w:val="0"/>
                      <w:marBottom w:val="0"/>
                      <w:divBdr>
                        <w:top w:val="none" w:sz="0" w:space="0" w:color="auto"/>
                        <w:left w:val="none" w:sz="0" w:space="0" w:color="auto"/>
                        <w:bottom w:val="none" w:sz="0" w:space="0" w:color="auto"/>
                        <w:right w:val="none" w:sz="0" w:space="0" w:color="auto"/>
                      </w:divBdr>
                      <w:divsChild>
                        <w:div w:id="543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8742">
          <w:marLeft w:val="0"/>
          <w:marRight w:val="0"/>
          <w:marTop w:val="0"/>
          <w:marBottom w:val="0"/>
          <w:divBdr>
            <w:top w:val="none" w:sz="0" w:space="0" w:color="auto"/>
            <w:left w:val="none" w:sz="0" w:space="0" w:color="auto"/>
            <w:bottom w:val="none" w:sz="0" w:space="0" w:color="auto"/>
            <w:right w:val="none" w:sz="0" w:space="0" w:color="auto"/>
          </w:divBdr>
        </w:div>
      </w:divsChild>
    </w:div>
    <w:div w:id="1151747750">
      <w:bodyDiv w:val="1"/>
      <w:marLeft w:val="0"/>
      <w:marRight w:val="0"/>
      <w:marTop w:val="0"/>
      <w:marBottom w:val="0"/>
      <w:divBdr>
        <w:top w:val="none" w:sz="0" w:space="0" w:color="auto"/>
        <w:left w:val="none" w:sz="0" w:space="0" w:color="auto"/>
        <w:bottom w:val="none" w:sz="0" w:space="0" w:color="auto"/>
        <w:right w:val="none" w:sz="0" w:space="0" w:color="auto"/>
      </w:divBdr>
    </w:div>
    <w:div w:id="1187215028">
      <w:bodyDiv w:val="1"/>
      <w:marLeft w:val="0"/>
      <w:marRight w:val="0"/>
      <w:marTop w:val="0"/>
      <w:marBottom w:val="0"/>
      <w:divBdr>
        <w:top w:val="none" w:sz="0" w:space="0" w:color="auto"/>
        <w:left w:val="none" w:sz="0" w:space="0" w:color="auto"/>
        <w:bottom w:val="none" w:sz="0" w:space="0" w:color="auto"/>
        <w:right w:val="none" w:sz="0" w:space="0" w:color="auto"/>
      </w:divBdr>
      <w:divsChild>
        <w:div w:id="555629662">
          <w:marLeft w:val="0"/>
          <w:marRight w:val="0"/>
          <w:marTop w:val="0"/>
          <w:marBottom w:val="0"/>
          <w:divBdr>
            <w:top w:val="none" w:sz="0" w:space="0" w:color="auto"/>
            <w:left w:val="none" w:sz="0" w:space="0" w:color="auto"/>
            <w:bottom w:val="none" w:sz="0" w:space="0" w:color="auto"/>
            <w:right w:val="none" w:sz="0" w:space="0" w:color="auto"/>
          </w:divBdr>
        </w:div>
        <w:div w:id="1114131306">
          <w:marLeft w:val="0"/>
          <w:marRight w:val="0"/>
          <w:marTop w:val="0"/>
          <w:marBottom w:val="0"/>
          <w:divBdr>
            <w:top w:val="none" w:sz="0" w:space="0" w:color="auto"/>
            <w:left w:val="none" w:sz="0" w:space="0" w:color="auto"/>
            <w:bottom w:val="none" w:sz="0" w:space="0" w:color="auto"/>
            <w:right w:val="none" w:sz="0" w:space="0" w:color="auto"/>
          </w:divBdr>
        </w:div>
        <w:div w:id="1832940153">
          <w:marLeft w:val="0"/>
          <w:marRight w:val="0"/>
          <w:marTop w:val="0"/>
          <w:marBottom w:val="0"/>
          <w:divBdr>
            <w:top w:val="none" w:sz="0" w:space="0" w:color="auto"/>
            <w:left w:val="none" w:sz="0" w:space="0" w:color="auto"/>
            <w:bottom w:val="none" w:sz="0" w:space="0" w:color="auto"/>
            <w:right w:val="none" w:sz="0" w:space="0" w:color="auto"/>
          </w:divBdr>
        </w:div>
        <w:div w:id="1974172725">
          <w:marLeft w:val="0"/>
          <w:marRight w:val="0"/>
          <w:marTop w:val="0"/>
          <w:marBottom w:val="0"/>
          <w:divBdr>
            <w:top w:val="none" w:sz="0" w:space="0" w:color="auto"/>
            <w:left w:val="none" w:sz="0" w:space="0" w:color="auto"/>
            <w:bottom w:val="none" w:sz="0" w:space="0" w:color="auto"/>
            <w:right w:val="none" w:sz="0" w:space="0" w:color="auto"/>
          </w:divBdr>
        </w:div>
      </w:divsChild>
    </w:div>
    <w:div w:id="1198548744">
      <w:bodyDiv w:val="1"/>
      <w:marLeft w:val="0"/>
      <w:marRight w:val="0"/>
      <w:marTop w:val="0"/>
      <w:marBottom w:val="0"/>
      <w:divBdr>
        <w:top w:val="none" w:sz="0" w:space="0" w:color="auto"/>
        <w:left w:val="none" w:sz="0" w:space="0" w:color="auto"/>
        <w:bottom w:val="none" w:sz="0" w:space="0" w:color="auto"/>
        <w:right w:val="none" w:sz="0" w:space="0" w:color="auto"/>
      </w:divBdr>
    </w:div>
    <w:div w:id="1202742370">
      <w:bodyDiv w:val="1"/>
      <w:marLeft w:val="0"/>
      <w:marRight w:val="0"/>
      <w:marTop w:val="0"/>
      <w:marBottom w:val="0"/>
      <w:divBdr>
        <w:top w:val="none" w:sz="0" w:space="0" w:color="auto"/>
        <w:left w:val="none" w:sz="0" w:space="0" w:color="auto"/>
        <w:bottom w:val="none" w:sz="0" w:space="0" w:color="auto"/>
        <w:right w:val="none" w:sz="0" w:space="0" w:color="auto"/>
      </w:divBdr>
      <w:divsChild>
        <w:div w:id="1013649030">
          <w:marLeft w:val="0"/>
          <w:marRight w:val="0"/>
          <w:marTop w:val="0"/>
          <w:marBottom w:val="0"/>
          <w:divBdr>
            <w:top w:val="none" w:sz="0" w:space="0" w:color="auto"/>
            <w:left w:val="none" w:sz="0" w:space="0" w:color="auto"/>
            <w:bottom w:val="none" w:sz="0" w:space="0" w:color="auto"/>
            <w:right w:val="none" w:sz="0" w:space="0" w:color="auto"/>
          </w:divBdr>
        </w:div>
        <w:div w:id="2129658531">
          <w:marLeft w:val="0"/>
          <w:marRight w:val="0"/>
          <w:marTop w:val="0"/>
          <w:marBottom w:val="0"/>
          <w:divBdr>
            <w:top w:val="none" w:sz="0" w:space="0" w:color="auto"/>
            <w:left w:val="none" w:sz="0" w:space="0" w:color="auto"/>
            <w:bottom w:val="none" w:sz="0" w:space="0" w:color="auto"/>
            <w:right w:val="none" w:sz="0" w:space="0" w:color="auto"/>
          </w:divBdr>
        </w:div>
      </w:divsChild>
    </w:div>
    <w:div w:id="1202743082">
      <w:bodyDiv w:val="1"/>
      <w:marLeft w:val="0"/>
      <w:marRight w:val="0"/>
      <w:marTop w:val="0"/>
      <w:marBottom w:val="0"/>
      <w:divBdr>
        <w:top w:val="none" w:sz="0" w:space="0" w:color="auto"/>
        <w:left w:val="none" w:sz="0" w:space="0" w:color="auto"/>
        <w:bottom w:val="none" w:sz="0" w:space="0" w:color="auto"/>
        <w:right w:val="none" w:sz="0" w:space="0" w:color="auto"/>
      </w:divBdr>
    </w:div>
    <w:div w:id="1208109305">
      <w:bodyDiv w:val="1"/>
      <w:marLeft w:val="0"/>
      <w:marRight w:val="0"/>
      <w:marTop w:val="0"/>
      <w:marBottom w:val="0"/>
      <w:divBdr>
        <w:top w:val="none" w:sz="0" w:space="0" w:color="auto"/>
        <w:left w:val="none" w:sz="0" w:space="0" w:color="auto"/>
        <w:bottom w:val="none" w:sz="0" w:space="0" w:color="auto"/>
        <w:right w:val="none" w:sz="0" w:space="0" w:color="auto"/>
      </w:divBdr>
    </w:div>
    <w:div w:id="1215312454">
      <w:bodyDiv w:val="1"/>
      <w:marLeft w:val="0"/>
      <w:marRight w:val="0"/>
      <w:marTop w:val="0"/>
      <w:marBottom w:val="0"/>
      <w:divBdr>
        <w:top w:val="none" w:sz="0" w:space="0" w:color="auto"/>
        <w:left w:val="none" w:sz="0" w:space="0" w:color="auto"/>
        <w:bottom w:val="none" w:sz="0" w:space="0" w:color="auto"/>
        <w:right w:val="none" w:sz="0" w:space="0" w:color="auto"/>
      </w:divBdr>
    </w:div>
    <w:div w:id="1215383804">
      <w:bodyDiv w:val="1"/>
      <w:marLeft w:val="0"/>
      <w:marRight w:val="0"/>
      <w:marTop w:val="0"/>
      <w:marBottom w:val="0"/>
      <w:divBdr>
        <w:top w:val="none" w:sz="0" w:space="0" w:color="auto"/>
        <w:left w:val="none" w:sz="0" w:space="0" w:color="auto"/>
        <w:bottom w:val="none" w:sz="0" w:space="0" w:color="auto"/>
        <w:right w:val="none" w:sz="0" w:space="0" w:color="auto"/>
      </w:divBdr>
    </w:div>
    <w:div w:id="1224560361">
      <w:bodyDiv w:val="1"/>
      <w:marLeft w:val="0"/>
      <w:marRight w:val="0"/>
      <w:marTop w:val="0"/>
      <w:marBottom w:val="0"/>
      <w:divBdr>
        <w:top w:val="none" w:sz="0" w:space="0" w:color="auto"/>
        <w:left w:val="none" w:sz="0" w:space="0" w:color="auto"/>
        <w:bottom w:val="none" w:sz="0" w:space="0" w:color="auto"/>
        <w:right w:val="none" w:sz="0" w:space="0" w:color="auto"/>
      </w:divBdr>
    </w:div>
    <w:div w:id="1231421831">
      <w:bodyDiv w:val="1"/>
      <w:marLeft w:val="0"/>
      <w:marRight w:val="0"/>
      <w:marTop w:val="0"/>
      <w:marBottom w:val="0"/>
      <w:divBdr>
        <w:top w:val="none" w:sz="0" w:space="0" w:color="auto"/>
        <w:left w:val="none" w:sz="0" w:space="0" w:color="auto"/>
        <w:bottom w:val="none" w:sz="0" w:space="0" w:color="auto"/>
        <w:right w:val="none" w:sz="0" w:space="0" w:color="auto"/>
      </w:divBdr>
      <w:divsChild>
        <w:div w:id="189488703">
          <w:marLeft w:val="0"/>
          <w:marRight w:val="0"/>
          <w:marTop w:val="0"/>
          <w:marBottom w:val="0"/>
          <w:divBdr>
            <w:top w:val="none" w:sz="0" w:space="0" w:color="auto"/>
            <w:left w:val="none" w:sz="0" w:space="0" w:color="auto"/>
            <w:bottom w:val="none" w:sz="0" w:space="0" w:color="auto"/>
            <w:right w:val="none" w:sz="0" w:space="0" w:color="auto"/>
          </w:divBdr>
        </w:div>
        <w:div w:id="445514290">
          <w:marLeft w:val="0"/>
          <w:marRight w:val="0"/>
          <w:marTop w:val="0"/>
          <w:marBottom w:val="0"/>
          <w:divBdr>
            <w:top w:val="none" w:sz="0" w:space="0" w:color="auto"/>
            <w:left w:val="none" w:sz="0" w:space="0" w:color="auto"/>
            <w:bottom w:val="none" w:sz="0" w:space="0" w:color="auto"/>
            <w:right w:val="none" w:sz="0" w:space="0" w:color="auto"/>
          </w:divBdr>
        </w:div>
        <w:div w:id="473567750">
          <w:marLeft w:val="0"/>
          <w:marRight w:val="0"/>
          <w:marTop w:val="0"/>
          <w:marBottom w:val="0"/>
          <w:divBdr>
            <w:top w:val="none" w:sz="0" w:space="0" w:color="auto"/>
            <w:left w:val="none" w:sz="0" w:space="0" w:color="auto"/>
            <w:bottom w:val="none" w:sz="0" w:space="0" w:color="auto"/>
            <w:right w:val="none" w:sz="0" w:space="0" w:color="auto"/>
          </w:divBdr>
        </w:div>
        <w:div w:id="552036798">
          <w:marLeft w:val="0"/>
          <w:marRight w:val="0"/>
          <w:marTop w:val="0"/>
          <w:marBottom w:val="0"/>
          <w:divBdr>
            <w:top w:val="none" w:sz="0" w:space="0" w:color="auto"/>
            <w:left w:val="none" w:sz="0" w:space="0" w:color="auto"/>
            <w:bottom w:val="none" w:sz="0" w:space="0" w:color="auto"/>
            <w:right w:val="none" w:sz="0" w:space="0" w:color="auto"/>
          </w:divBdr>
        </w:div>
        <w:div w:id="558178150">
          <w:marLeft w:val="0"/>
          <w:marRight w:val="0"/>
          <w:marTop w:val="0"/>
          <w:marBottom w:val="0"/>
          <w:divBdr>
            <w:top w:val="none" w:sz="0" w:space="0" w:color="auto"/>
            <w:left w:val="none" w:sz="0" w:space="0" w:color="auto"/>
            <w:bottom w:val="none" w:sz="0" w:space="0" w:color="auto"/>
            <w:right w:val="none" w:sz="0" w:space="0" w:color="auto"/>
          </w:divBdr>
        </w:div>
        <w:div w:id="607933336">
          <w:marLeft w:val="0"/>
          <w:marRight w:val="0"/>
          <w:marTop w:val="0"/>
          <w:marBottom w:val="0"/>
          <w:divBdr>
            <w:top w:val="none" w:sz="0" w:space="0" w:color="auto"/>
            <w:left w:val="none" w:sz="0" w:space="0" w:color="auto"/>
            <w:bottom w:val="none" w:sz="0" w:space="0" w:color="auto"/>
            <w:right w:val="none" w:sz="0" w:space="0" w:color="auto"/>
          </w:divBdr>
        </w:div>
        <w:div w:id="854808289">
          <w:marLeft w:val="0"/>
          <w:marRight w:val="0"/>
          <w:marTop w:val="0"/>
          <w:marBottom w:val="0"/>
          <w:divBdr>
            <w:top w:val="none" w:sz="0" w:space="0" w:color="auto"/>
            <w:left w:val="none" w:sz="0" w:space="0" w:color="auto"/>
            <w:bottom w:val="none" w:sz="0" w:space="0" w:color="auto"/>
            <w:right w:val="none" w:sz="0" w:space="0" w:color="auto"/>
          </w:divBdr>
        </w:div>
        <w:div w:id="1188056910">
          <w:marLeft w:val="0"/>
          <w:marRight w:val="0"/>
          <w:marTop w:val="0"/>
          <w:marBottom w:val="0"/>
          <w:divBdr>
            <w:top w:val="none" w:sz="0" w:space="0" w:color="auto"/>
            <w:left w:val="none" w:sz="0" w:space="0" w:color="auto"/>
            <w:bottom w:val="none" w:sz="0" w:space="0" w:color="auto"/>
            <w:right w:val="none" w:sz="0" w:space="0" w:color="auto"/>
          </w:divBdr>
        </w:div>
        <w:div w:id="1914002516">
          <w:marLeft w:val="0"/>
          <w:marRight w:val="0"/>
          <w:marTop w:val="0"/>
          <w:marBottom w:val="0"/>
          <w:divBdr>
            <w:top w:val="none" w:sz="0" w:space="0" w:color="auto"/>
            <w:left w:val="none" w:sz="0" w:space="0" w:color="auto"/>
            <w:bottom w:val="none" w:sz="0" w:space="0" w:color="auto"/>
            <w:right w:val="none" w:sz="0" w:space="0" w:color="auto"/>
          </w:divBdr>
        </w:div>
      </w:divsChild>
    </w:div>
    <w:div w:id="1232353751">
      <w:bodyDiv w:val="1"/>
      <w:marLeft w:val="0"/>
      <w:marRight w:val="0"/>
      <w:marTop w:val="0"/>
      <w:marBottom w:val="0"/>
      <w:divBdr>
        <w:top w:val="none" w:sz="0" w:space="0" w:color="auto"/>
        <w:left w:val="none" w:sz="0" w:space="0" w:color="auto"/>
        <w:bottom w:val="none" w:sz="0" w:space="0" w:color="auto"/>
        <w:right w:val="none" w:sz="0" w:space="0" w:color="auto"/>
      </w:divBdr>
    </w:div>
    <w:div w:id="1252012528">
      <w:bodyDiv w:val="1"/>
      <w:marLeft w:val="0"/>
      <w:marRight w:val="0"/>
      <w:marTop w:val="0"/>
      <w:marBottom w:val="0"/>
      <w:divBdr>
        <w:top w:val="none" w:sz="0" w:space="0" w:color="auto"/>
        <w:left w:val="none" w:sz="0" w:space="0" w:color="auto"/>
        <w:bottom w:val="none" w:sz="0" w:space="0" w:color="auto"/>
        <w:right w:val="none" w:sz="0" w:space="0" w:color="auto"/>
      </w:divBdr>
    </w:div>
    <w:div w:id="1252619418">
      <w:bodyDiv w:val="1"/>
      <w:marLeft w:val="0"/>
      <w:marRight w:val="0"/>
      <w:marTop w:val="0"/>
      <w:marBottom w:val="0"/>
      <w:divBdr>
        <w:top w:val="none" w:sz="0" w:space="0" w:color="auto"/>
        <w:left w:val="none" w:sz="0" w:space="0" w:color="auto"/>
        <w:bottom w:val="none" w:sz="0" w:space="0" w:color="auto"/>
        <w:right w:val="none" w:sz="0" w:space="0" w:color="auto"/>
      </w:divBdr>
      <w:divsChild>
        <w:div w:id="187178745">
          <w:marLeft w:val="0"/>
          <w:marRight w:val="0"/>
          <w:marTop w:val="0"/>
          <w:marBottom w:val="0"/>
          <w:divBdr>
            <w:top w:val="none" w:sz="0" w:space="0" w:color="auto"/>
            <w:left w:val="none" w:sz="0" w:space="0" w:color="auto"/>
            <w:bottom w:val="none" w:sz="0" w:space="0" w:color="auto"/>
            <w:right w:val="none" w:sz="0" w:space="0" w:color="auto"/>
          </w:divBdr>
          <w:divsChild>
            <w:div w:id="1432048966">
              <w:marLeft w:val="0"/>
              <w:marRight w:val="0"/>
              <w:marTop w:val="0"/>
              <w:marBottom w:val="0"/>
              <w:divBdr>
                <w:top w:val="none" w:sz="0" w:space="0" w:color="auto"/>
                <w:left w:val="none" w:sz="0" w:space="0" w:color="auto"/>
                <w:bottom w:val="none" w:sz="0" w:space="0" w:color="auto"/>
                <w:right w:val="none" w:sz="0" w:space="0" w:color="auto"/>
              </w:divBdr>
              <w:divsChild>
                <w:div w:id="17909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93204">
      <w:bodyDiv w:val="1"/>
      <w:marLeft w:val="0"/>
      <w:marRight w:val="0"/>
      <w:marTop w:val="0"/>
      <w:marBottom w:val="0"/>
      <w:divBdr>
        <w:top w:val="none" w:sz="0" w:space="0" w:color="auto"/>
        <w:left w:val="none" w:sz="0" w:space="0" w:color="auto"/>
        <w:bottom w:val="none" w:sz="0" w:space="0" w:color="auto"/>
        <w:right w:val="none" w:sz="0" w:space="0" w:color="auto"/>
      </w:divBdr>
    </w:div>
    <w:div w:id="1331520186">
      <w:bodyDiv w:val="1"/>
      <w:marLeft w:val="0"/>
      <w:marRight w:val="0"/>
      <w:marTop w:val="0"/>
      <w:marBottom w:val="0"/>
      <w:divBdr>
        <w:top w:val="none" w:sz="0" w:space="0" w:color="auto"/>
        <w:left w:val="none" w:sz="0" w:space="0" w:color="auto"/>
        <w:bottom w:val="none" w:sz="0" w:space="0" w:color="auto"/>
        <w:right w:val="none" w:sz="0" w:space="0" w:color="auto"/>
      </w:divBdr>
    </w:div>
    <w:div w:id="1345982480">
      <w:bodyDiv w:val="1"/>
      <w:marLeft w:val="0"/>
      <w:marRight w:val="0"/>
      <w:marTop w:val="0"/>
      <w:marBottom w:val="0"/>
      <w:divBdr>
        <w:top w:val="none" w:sz="0" w:space="0" w:color="auto"/>
        <w:left w:val="none" w:sz="0" w:space="0" w:color="auto"/>
        <w:bottom w:val="none" w:sz="0" w:space="0" w:color="auto"/>
        <w:right w:val="none" w:sz="0" w:space="0" w:color="auto"/>
      </w:divBdr>
      <w:divsChild>
        <w:div w:id="437483680">
          <w:marLeft w:val="0"/>
          <w:marRight w:val="0"/>
          <w:marTop w:val="0"/>
          <w:marBottom w:val="0"/>
          <w:divBdr>
            <w:top w:val="none" w:sz="0" w:space="0" w:color="auto"/>
            <w:left w:val="none" w:sz="0" w:space="0" w:color="auto"/>
            <w:bottom w:val="none" w:sz="0" w:space="0" w:color="auto"/>
            <w:right w:val="none" w:sz="0" w:space="0" w:color="auto"/>
          </w:divBdr>
        </w:div>
        <w:div w:id="544802688">
          <w:marLeft w:val="0"/>
          <w:marRight w:val="0"/>
          <w:marTop w:val="0"/>
          <w:marBottom w:val="0"/>
          <w:divBdr>
            <w:top w:val="none" w:sz="0" w:space="0" w:color="auto"/>
            <w:left w:val="none" w:sz="0" w:space="0" w:color="auto"/>
            <w:bottom w:val="none" w:sz="0" w:space="0" w:color="auto"/>
            <w:right w:val="none" w:sz="0" w:space="0" w:color="auto"/>
          </w:divBdr>
        </w:div>
        <w:div w:id="622930067">
          <w:marLeft w:val="0"/>
          <w:marRight w:val="0"/>
          <w:marTop w:val="0"/>
          <w:marBottom w:val="0"/>
          <w:divBdr>
            <w:top w:val="none" w:sz="0" w:space="0" w:color="auto"/>
            <w:left w:val="none" w:sz="0" w:space="0" w:color="auto"/>
            <w:bottom w:val="none" w:sz="0" w:space="0" w:color="auto"/>
            <w:right w:val="none" w:sz="0" w:space="0" w:color="auto"/>
          </w:divBdr>
        </w:div>
        <w:div w:id="755439633">
          <w:marLeft w:val="0"/>
          <w:marRight w:val="0"/>
          <w:marTop w:val="0"/>
          <w:marBottom w:val="0"/>
          <w:divBdr>
            <w:top w:val="none" w:sz="0" w:space="0" w:color="auto"/>
            <w:left w:val="none" w:sz="0" w:space="0" w:color="auto"/>
            <w:bottom w:val="none" w:sz="0" w:space="0" w:color="auto"/>
            <w:right w:val="none" w:sz="0" w:space="0" w:color="auto"/>
          </w:divBdr>
        </w:div>
        <w:div w:id="839345853">
          <w:marLeft w:val="0"/>
          <w:marRight w:val="0"/>
          <w:marTop w:val="0"/>
          <w:marBottom w:val="0"/>
          <w:divBdr>
            <w:top w:val="none" w:sz="0" w:space="0" w:color="auto"/>
            <w:left w:val="none" w:sz="0" w:space="0" w:color="auto"/>
            <w:bottom w:val="none" w:sz="0" w:space="0" w:color="auto"/>
            <w:right w:val="none" w:sz="0" w:space="0" w:color="auto"/>
          </w:divBdr>
        </w:div>
        <w:div w:id="955063473">
          <w:marLeft w:val="0"/>
          <w:marRight w:val="0"/>
          <w:marTop w:val="0"/>
          <w:marBottom w:val="0"/>
          <w:divBdr>
            <w:top w:val="none" w:sz="0" w:space="0" w:color="auto"/>
            <w:left w:val="none" w:sz="0" w:space="0" w:color="auto"/>
            <w:bottom w:val="none" w:sz="0" w:space="0" w:color="auto"/>
            <w:right w:val="none" w:sz="0" w:space="0" w:color="auto"/>
          </w:divBdr>
        </w:div>
        <w:div w:id="1610235402">
          <w:marLeft w:val="0"/>
          <w:marRight w:val="0"/>
          <w:marTop w:val="0"/>
          <w:marBottom w:val="0"/>
          <w:divBdr>
            <w:top w:val="none" w:sz="0" w:space="0" w:color="auto"/>
            <w:left w:val="none" w:sz="0" w:space="0" w:color="auto"/>
            <w:bottom w:val="none" w:sz="0" w:space="0" w:color="auto"/>
            <w:right w:val="none" w:sz="0" w:space="0" w:color="auto"/>
          </w:divBdr>
        </w:div>
        <w:div w:id="1897623801">
          <w:marLeft w:val="0"/>
          <w:marRight w:val="0"/>
          <w:marTop w:val="0"/>
          <w:marBottom w:val="0"/>
          <w:divBdr>
            <w:top w:val="none" w:sz="0" w:space="0" w:color="auto"/>
            <w:left w:val="none" w:sz="0" w:space="0" w:color="auto"/>
            <w:bottom w:val="none" w:sz="0" w:space="0" w:color="auto"/>
            <w:right w:val="none" w:sz="0" w:space="0" w:color="auto"/>
          </w:divBdr>
        </w:div>
        <w:div w:id="1994286272">
          <w:marLeft w:val="0"/>
          <w:marRight w:val="0"/>
          <w:marTop w:val="0"/>
          <w:marBottom w:val="0"/>
          <w:divBdr>
            <w:top w:val="none" w:sz="0" w:space="0" w:color="auto"/>
            <w:left w:val="none" w:sz="0" w:space="0" w:color="auto"/>
            <w:bottom w:val="none" w:sz="0" w:space="0" w:color="auto"/>
            <w:right w:val="none" w:sz="0" w:space="0" w:color="auto"/>
          </w:divBdr>
        </w:div>
      </w:divsChild>
    </w:div>
    <w:div w:id="1357466192">
      <w:bodyDiv w:val="1"/>
      <w:marLeft w:val="0"/>
      <w:marRight w:val="0"/>
      <w:marTop w:val="0"/>
      <w:marBottom w:val="0"/>
      <w:divBdr>
        <w:top w:val="none" w:sz="0" w:space="0" w:color="auto"/>
        <w:left w:val="none" w:sz="0" w:space="0" w:color="auto"/>
        <w:bottom w:val="none" w:sz="0" w:space="0" w:color="auto"/>
        <w:right w:val="none" w:sz="0" w:space="0" w:color="auto"/>
      </w:divBdr>
      <w:divsChild>
        <w:div w:id="2146192902">
          <w:marLeft w:val="0"/>
          <w:marRight w:val="0"/>
          <w:marTop w:val="0"/>
          <w:marBottom w:val="0"/>
          <w:divBdr>
            <w:top w:val="none" w:sz="0" w:space="0" w:color="auto"/>
            <w:left w:val="none" w:sz="0" w:space="0" w:color="auto"/>
            <w:bottom w:val="none" w:sz="0" w:space="0" w:color="auto"/>
            <w:right w:val="none" w:sz="0" w:space="0" w:color="auto"/>
          </w:divBdr>
        </w:div>
      </w:divsChild>
    </w:div>
    <w:div w:id="1412507347">
      <w:bodyDiv w:val="1"/>
      <w:marLeft w:val="0"/>
      <w:marRight w:val="0"/>
      <w:marTop w:val="0"/>
      <w:marBottom w:val="0"/>
      <w:divBdr>
        <w:top w:val="none" w:sz="0" w:space="0" w:color="auto"/>
        <w:left w:val="none" w:sz="0" w:space="0" w:color="auto"/>
        <w:bottom w:val="none" w:sz="0" w:space="0" w:color="auto"/>
        <w:right w:val="none" w:sz="0" w:space="0" w:color="auto"/>
      </w:divBdr>
    </w:div>
    <w:div w:id="1431581975">
      <w:bodyDiv w:val="1"/>
      <w:marLeft w:val="0"/>
      <w:marRight w:val="0"/>
      <w:marTop w:val="0"/>
      <w:marBottom w:val="0"/>
      <w:divBdr>
        <w:top w:val="none" w:sz="0" w:space="0" w:color="auto"/>
        <w:left w:val="none" w:sz="0" w:space="0" w:color="auto"/>
        <w:bottom w:val="none" w:sz="0" w:space="0" w:color="auto"/>
        <w:right w:val="none" w:sz="0" w:space="0" w:color="auto"/>
      </w:divBdr>
    </w:div>
    <w:div w:id="1435590793">
      <w:bodyDiv w:val="1"/>
      <w:marLeft w:val="0"/>
      <w:marRight w:val="0"/>
      <w:marTop w:val="0"/>
      <w:marBottom w:val="0"/>
      <w:divBdr>
        <w:top w:val="none" w:sz="0" w:space="0" w:color="auto"/>
        <w:left w:val="none" w:sz="0" w:space="0" w:color="auto"/>
        <w:bottom w:val="none" w:sz="0" w:space="0" w:color="auto"/>
        <w:right w:val="none" w:sz="0" w:space="0" w:color="auto"/>
      </w:divBdr>
    </w:div>
    <w:div w:id="1452506964">
      <w:bodyDiv w:val="1"/>
      <w:marLeft w:val="0"/>
      <w:marRight w:val="0"/>
      <w:marTop w:val="0"/>
      <w:marBottom w:val="0"/>
      <w:divBdr>
        <w:top w:val="none" w:sz="0" w:space="0" w:color="auto"/>
        <w:left w:val="none" w:sz="0" w:space="0" w:color="auto"/>
        <w:bottom w:val="none" w:sz="0" w:space="0" w:color="auto"/>
        <w:right w:val="none" w:sz="0" w:space="0" w:color="auto"/>
      </w:divBdr>
    </w:div>
    <w:div w:id="1458067547">
      <w:bodyDiv w:val="1"/>
      <w:marLeft w:val="0"/>
      <w:marRight w:val="0"/>
      <w:marTop w:val="0"/>
      <w:marBottom w:val="0"/>
      <w:divBdr>
        <w:top w:val="none" w:sz="0" w:space="0" w:color="auto"/>
        <w:left w:val="none" w:sz="0" w:space="0" w:color="auto"/>
        <w:bottom w:val="none" w:sz="0" w:space="0" w:color="auto"/>
        <w:right w:val="none" w:sz="0" w:space="0" w:color="auto"/>
      </w:divBdr>
    </w:div>
    <w:div w:id="1467118016">
      <w:bodyDiv w:val="1"/>
      <w:marLeft w:val="0"/>
      <w:marRight w:val="0"/>
      <w:marTop w:val="0"/>
      <w:marBottom w:val="0"/>
      <w:divBdr>
        <w:top w:val="none" w:sz="0" w:space="0" w:color="auto"/>
        <w:left w:val="none" w:sz="0" w:space="0" w:color="auto"/>
        <w:bottom w:val="none" w:sz="0" w:space="0" w:color="auto"/>
        <w:right w:val="none" w:sz="0" w:space="0" w:color="auto"/>
      </w:divBdr>
    </w:div>
    <w:div w:id="1469007515">
      <w:bodyDiv w:val="1"/>
      <w:marLeft w:val="0"/>
      <w:marRight w:val="0"/>
      <w:marTop w:val="0"/>
      <w:marBottom w:val="0"/>
      <w:divBdr>
        <w:top w:val="none" w:sz="0" w:space="0" w:color="auto"/>
        <w:left w:val="none" w:sz="0" w:space="0" w:color="auto"/>
        <w:bottom w:val="none" w:sz="0" w:space="0" w:color="auto"/>
        <w:right w:val="none" w:sz="0" w:space="0" w:color="auto"/>
      </w:divBdr>
      <w:divsChild>
        <w:div w:id="70205850">
          <w:marLeft w:val="0"/>
          <w:marRight w:val="0"/>
          <w:marTop w:val="0"/>
          <w:marBottom w:val="0"/>
          <w:divBdr>
            <w:top w:val="none" w:sz="0" w:space="0" w:color="auto"/>
            <w:left w:val="none" w:sz="0" w:space="0" w:color="auto"/>
            <w:bottom w:val="none" w:sz="0" w:space="0" w:color="auto"/>
            <w:right w:val="none" w:sz="0" w:space="0" w:color="auto"/>
          </w:divBdr>
        </w:div>
        <w:div w:id="380128890">
          <w:marLeft w:val="0"/>
          <w:marRight w:val="0"/>
          <w:marTop w:val="0"/>
          <w:marBottom w:val="0"/>
          <w:divBdr>
            <w:top w:val="none" w:sz="0" w:space="0" w:color="auto"/>
            <w:left w:val="none" w:sz="0" w:space="0" w:color="auto"/>
            <w:bottom w:val="none" w:sz="0" w:space="0" w:color="auto"/>
            <w:right w:val="none" w:sz="0" w:space="0" w:color="auto"/>
          </w:divBdr>
        </w:div>
        <w:div w:id="501553616">
          <w:marLeft w:val="0"/>
          <w:marRight w:val="0"/>
          <w:marTop w:val="0"/>
          <w:marBottom w:val="0"/>
          <w:divBdr>
            <w:top w:val="none" w:sz="0" w:space="0" w:color="auto"/>
            <w:left w:val="none" w:sz="0" w:space="0" w:color="auto"/>
            <w:bottom w:val="none" w:sz="0" w:space="0" w:color="auto"/>
            <w:right w:val="none" w:sz="0" w:space="0" w:color="auto"/>
          </w:divBdr>
        </w:div>
        <w:div w:id="513032758">
          <w:marLeft w:val="0"/>
          <w:marRight w:val="0"/>
          <w:marTop w:val="0"/>
          <w:marBottom w:val="0"/>
          <w:divBdr>
            <w:top w:val="none" w:sz="0" w:space="0" w:color="auto"/>
            <w:left w:val="none" w:sz="0" w:space="0" w:color="auto"/>
            <w:bottom w:val="none" w:sz="0" w:space="0" w:color="auto"/>
            <w:right w:val="none" w:sz="0" w:space="0" w:color="auto"/>
          </w:divBdr>
        </w:div>
        <w:div w:id="904728646">
          <w:marLeft w:val="0"/>
          <w:marRight w:val="0"/>
          <w:marTop w:val="0"/>
          <w:marBottom w:val="0"/>
          <w:divBdr>
            <w:top w:val="none" w:sz="0" w:space="0" w:color="auto"/>
            <w:left w:val="none" w:sz="0" w:space="0" w:color="auto"/>
            <w:bottom w:val="none" w:sz="0" w:space="0" w:color="auto"/>
            <w:right w:val="none" w:sz="0" w:space="0" w:color="auto"/>
          </w:divBdr>
        </w:div>
        <w:div w:id="1018892386">
          <w:marLeft w:val="0"/>
          <w:marRight w:val="0"/>
          <w:marTop w:val="0"/>
          <w:marBottom w:val="0"/>
          <w:divBdr>
            <w:top w:val="none" w:sz="0" w:space="0" w:color="auto"/>
            <w:left w:val="none" w:sz="0" w:space="0" w:color="auto"/>
            <w:bottom w:val="none" w:sz="0" w:space="0" w:color="auto"/>
            <w:right w:val="none" w:sz="0" w:space="0" w:color="auto"/>
          </w:divBdr>
        </w:div>
        <w:div w:id="1443456808">
          <w:marLeft w:val="0"/>
          <w:marRight w:val="0"/>
          <w:marTop w:val="0"/>
          <w:marBottom w:val="0"/>
          <w:divBdr>
            <w:top w:val="none" w:sz="0" w:space="0" w:color="auto"/>
            <w:left w:val="none" w:sz="0" w:space="0" w:color="auto"/>
            <w:bottom w:val="none" w:sz="0" w:space="0" w:color="auto"/>
            <w:right w:val="none" w:sz="0" w:space="0" w:color="auto"/>
          </w:divBdr>
        </w:div>
        <w:div w:id="1488208768">
          <w:marLeft w:val="0"/>
          <w:marRight w:val="0"/>
          <w:marTop w:val="0"/>
          <w:marBottom w:val="0"/>
          <w:divBdr>
            <w:top w:val="none" w:sz="0" w:space="0" w:color="auto"/>
            <w:left w:val="none" w:sz="0" w:space="0" w:color="auto"/>
            <w:bottom w:val="none" w:sz="0" w:space="0" w:color="auto"/>
            <w:right w:val="none" w:sz="0" w:space="0" w:color="auto"/>
          </w:divBdr>
        </w:div>
        <w:div w:id="1976174266">
          <w:marLeft w:val="0"/>
          <w:marRight w:val="0"/>
          <w:marTop w:val="0"/>
          <w:marBottom w:val="0"/>
          <w:divBdr>
            <w:top w:val="none" w:sz="0" w:space="0" w:color="auto"/>
            <w:left w:val="none" w:sz="0" w:space="0" w:color="auto"/>
            <w:bottom w:val="none" w:sz="0" w:space="0" w:color="auto"/>
            <w:right w:val="none" w:sz="0" w:space="0" w:color="auto"/>
          </w:divBdr>
        </w:div>
      </w:divsChild>
    </w:div>
    <w:div w:id="1498306809">
      <w:bodyDiv w:val="1"/>
      <w:marLeft w:val="0"/>
      <w:marRight w:val="0"/>
      <w:marTop w:val="0"/>
      <w:marBottom w:val="0"/>
      <w:divBdr>
        <w:top w:val="none" w:sz="0" w:space="0" w:color="auto"/>
        <w:left w:val="none" w:sz="0" w:space="0" w:color="auto"/>
        <w:bottom w:val="none" w:sz="0" w:space="0" w:color="auto"/>
        <w:right w:val="none" w:sz="0" w:space="0" w:color="auto"/>
      </w:divBdr>
    </w:div>
    <w:div w:id="1529680613">
      <w:bodyDiv w:val="1"/>
      <w:marLeft w:val="0"/>
      <w:marRight w:val="0"/>
      <w:marTop w:val="0"/>
      <w:marBottom w:val="0"/>
      <w:divBdr>
        <w:top w:val="none" w:sz="0" w:space="0" w:color="auto"/>
        <w:left w:val="none" w:sz="0" w:space="0" w:color="auto"/>
        <w:bottom w:val="none" w:sz="0" w:space="0" w:color="auto"/>
        <w:right w:val="none" w:sz="0" w:space="0" w:color="auto"/>
      </w:divBdr>
    </w:div>
    <w:div w:id="1566910772">
      <w:bodyDiv w:val="1"/>
      <w:marLeft w:val="0"/>
      <w:marRight w:val="0"/>
      <w:marTop w:val="0"/>
      <w:marBottom w:val="0"/>
      <w:divBdr>
        <w:top w:val="none" w:sz="0" w:space="0" w:color="auto"/>
        <w:left w:val="none" w:sz="0" w:space="0" w:color="auto"/>
        <w:bottom w:val="none" w:sz="0" w:space="0" w:color="auto"/>
        <w:right w:val="none" w:sz="0" w:space="0" w:color="auto"/>
      </w:divBdr>
    </w:div>
    <w:div w:id="1571768289">
      <w:bodyDiv w:val="1"/>
      <w:marLeft w:val="0"/>
      <w:marRight w:val="0"/>
      <w:marTop w:val="0"/>
      <w:marBottom w:val="0"/>
      <w:divBdr>
        <w:top w:val="none" w:sz="0" w:space="0" w:color="auto"/>
        <w:left w:val="none" w:sz="0" w:space="0" w:color="auto"/>
        <w:bottom w:val="none" w:sz="0" w:space="0" w:color="auto"/>
        <w:right w:val="none" w:sz="0" w:space="0" w:color="auto"/>
      </w:divBdr>
    </w:div>
    <w:div w:id="1604415257">
      <w:bodyDiv w:val="1"/>
      <w:marLeft w:val="0"/>
      <w:marRight w:val="0"/>
      <w:marTop w:val="0"/>
      <w:marBottom w:val="0"/>
      <w:divBdr>
        <w:top w:val="none" w:sz="0" w:space="0" w:color="auto"/>
        <w:left w:val="none" w:sz="0" w:space="0" w:color="auto"/>
        <w:bottom w:val="none" w:sz="0" w:space="0" w:color="auto"/>
        <w:right w:val="none" w:sz="0" w:space="0" w:color="auto"/>
      </w:divBdr>
    </w:div>
    <w:div w:id="1610820868">
      <w:bodyDiv w:val="1"/>
      <w:marLeft w:val="0"/>
      <w:marRight w:val="0"/>
      <w:marTop w:val="0"/>
      <w:marBottom w:val="0"/>
      <w:divBdr>
        <w:top w:val="none" w:sz="0" w:space="0" w:color="auto"/>
        <w:left w:val="none" w:sz="0" w:space="0" w:color="auto"/>
        <w:bottom w:val="none" w:sz="0" w:space="0" w:color="auto"/>
        <w:right w:val="none" w:sz="0" w:space="0" w:color="auto"/>
      </w:divBdr>
      <w:divsChild>
        <w:div w:id="18629015">
          <w:marLeft w:val="0"/>
          <w:marRight w:val="0"/>
          <w:marTop w:val="0"/>
          <w:marBottom w:val="0"/>
          <w:divBdr>
            <w:top w:val="none" w:sz="0" w:space="0" w:color="auto"/>
            <w:left w:val="none" w:sz="0" w:space="0" w:color="auto"/>
            <w:bottom w:val="none" w:sz="0" w:space="0" w:color="auto"/>
            <w:right w:val="none" w:sz="0" w:space="0" w:color="auto"/>
          </w:divBdr>
        </w:div>
        <w:div w:id="41951640">
          <w:marLeft w:val="0"/>
          <w:marRight w:val="0"/>
          <w:marTop w:val="0"/>
          <w:marBottom w:val="0"/>
          <w:divBdr>
            <w:top w:val="none" w:sz="0" w:space="0" w:color="auto"/>
            <w:left w:val="none" w:sz="0" w:space="0" w:color="auto"/>
            <w:bottom w:val="none" w:sz="0" w:space="0" w:color="auto"/>
            <w:right w:val="none" w:sz="0" w:space="0" w:color="auto"/>
          </w:divBdr>
        </w:div>
        <w:div w:id="45690500">
          <w:marLeft w:val="0"/>
          <w:marRight w:val="0"/>
          <w:marTop w:val="0"/>
          <w:marBottom w:val="0"/>
          <w:divBdr>
            <w:top w:val="none" w:sz="0" w:space="0" w:color="auto"/>
            <w:left w:val="none" w:sz="0" w:space="0" w:color="auto"/>
            <w:bottom w:val="none" w:sz="0" w:space="0" w:color="auto"/>
            <w:right w:val="none" w:sz="0" w:space="0" w:color="auto"/>
          </w:divBdr>
        </w:div>
        <w:div w:id="57900238">
          <w:marLeft w:val="0"/>
          <w:marRight w:val="0"/>
          <w:marTop w:val="0"/>
          <w:marBottom w:val="0"/>
          <w:divBdr>
            <w:top w:val="none" w:sz="0" w:space="0" w:color="auto"/>
            <w:left w:val="none" w:sz="0" w:space="0" w:color="auto"/>
            <w:bottom w:val="none" w:sz="0" w:space="0" w:color="auto"/>
            <w:right w:val="none" w:sz="0" w:space="0" w:color="auto"/>
          </w:divBdr>
        </w:div>
        <w:div w:id="152065516">
          <w:marLeft w:val="0"/>
          <w:marRight w:val="0"/>
          <w:marTop w:val="0"/>
          <w:marBottom w:val="0"/>
          <w:divBdr>
            <w:top w:val="none" w:sz="0" w:space="0" w:color="auto"/>
            <w:left w:val="none" w:sz="0" w:space="0" w:color="auto"/>
            <w:bottom w:val="none" w:sz="0" w:space="0" w:color="auto"/>
            <w:right w:val="none" w:sz="0" w:space="0" w:color="auto"/>
          </w:divBdr>
        </w:div>
        <w:div w:id="355152931">
          <w:marLeft w:val="0"/>
          <w:marRight w:val="0"/>
          <w:marTop w:val="0"/>
          <w:marBottom w:val="0"/>
          <w:divBdr>
            <w:top w:val="none" w:sz="0" w:space="0" w:color="auto"/>
            <w:left w:val="none" w:sz="0" w:space="0" w:color="auto"/>
            <w:bottom w:val="none" w:sz="0" w:space="0" w:color="auto"/>
            <w:right w:val="none" w:sz="0" w:space="0" w:color="auto"/>
          </w:divBdr>
        </w:div>
        <w:div w:id="373623962">
          <w:marLeft w:val="0"/>
          <w:marRight w:val="0"/>
          <w:marTop w:val="0"/>
          <w:marBottom w:val="0"/>
          <w:divBdr>
            <w:top w:val="none" w:sz="0" w:space="0" w:color="auto"/>
            <w:left w:val="none" w:sz="0" w:space="0" w:color="auto"/>
            <w:bottom w:val="none" w:sz="0" w:space="0" w:color="auto"/>
            <w:right w:val="none" w:sz="0" w:space="0" w:color="auto"/>
          </w:divBdr>
        </w:div>
        <w:div w:id="426464015">
          <w:marLeft w:val="0"/>
          <w:marRight w:val="0"/>
          <w:marTop w:val="0"/>
          <w:marBottom w:val="0"/>
          <w:divBdr>
            <w:top w:val="none" w:sz="0" w:space="0" w:color="auto"/>
            <w:left w:val="none" w:sz="0" w:space="0" w:color="auto"/>
            <w:bottom w:val="none" w:sz="0" w:space="0" w:color="auto"/>
            <w:right w:val="none" w:sz="0" w:space="0" w:color="auto"/>
          </w:divBdr>
        </w:div>
        <w:div w:id="427964310">
          <w:marLeft w:val="0"/>
          <w:marRight w:val="0"/>
          <w:marTop w:val="0"/>
          <w:marBottom w:val="0"/>
          <w:divBdr>
            <w:top w:val="none" w:sz="0" w:space="0" w:color="auto"/>
            <w:left w:val="none" w:sz="0" w:space="0" w:color="auto"/>
            <w:bottom w:val="none" w:sz="0" w:space="0" w:color="auto"/>
            <w:right w:val="none" w:sz="0" w:space="0" w:color="auto"/>
          </w:divBdr>
        </w:div>
        <w:div w:id="429082000">
          <w:marLeft w:val="0"/>
          <w:marRight w:val="0"/>
          <w:marTop w:val="0"/>
          <w:marBottom w:val="0"/>
          <w:divBdr>
            <w:top w:val="none" w:sz="0" w:space="0" w:color="auto"/>
            <w:left w:val="none" w:sz="0" w:space="0" w:color="auto"/>
            <w:bottom w:val="none" w:sz="0" w:space="0" w:color="auto"/>
            <w:right w:val="none" w:sz="0" w:space="0" w:color="auto"/>
          </w:divBdr>
        </w:div>
        <w:div w:id="608664149">
          <w:marLeft w:val="0"/>
          <w:marRight w:val="0"/>
          <w:marTop w:val="0"/>
          <w:marBottom w:val="0"/>
          <w:divBdr>
            <w:top w:val="none" w:sz="0" w:space="0" w:color="auto"/>
            <w:left w:val="none" w:sz="0" w:space="0" w:color="auto"/>
            <w:bottom w:val="none" w:sz="0" w:space="0" w:color="auto"/>
            <w:right w:val="none" w:sz="0" w:space="0" w:color="auto"/>
          </w:divBdr>
        </w:div>
        <w:div w:id="710154112">
          <w:marLeft w:val="0"/>
          <w:marRight w:val="0"/>
          <w:marTop w:val="0"/>
          <w:marBottom w:val="0"/>
          <w:divBdr>
            <w:top w:val="none" w:sz="0" w:space="0" w:color="auto"/>
            <w:left w:val="none" w:sz="0" w:space="0" w:color="auto"/>
            <w:bottom w:val="none" w:sz="0" w:space="0" w:color="auto"/>
            <w:right w:val="none" w:sz="0" w:space="0" w:color="auto"/>
          </w:divBdr>
        </w:div>
        <w:div w:id="772559139">
          <w:marLeft w:val="0"/>
          <w:marRight w:val="0"/>
          <w:marTop w:val="0"/>
          <w:marBottom w:val="0"/>
          <w:divBdr>
            <w:top w:val="none" w:sz="0" w:space="0" w:color="auto"/>
            <w:left w:val="none" w:sz="0" w:space="0" w:color="auto"/>
            <w:bottom w:val="none" w:sz="0" w:space="0" w:color="auto"/>
            <w:right w:val="none" w:sz="0" w:space="0" w:color="auto"/>
          </w:divBdr>
        </w:div>
        <w:div w:id="906918217">
          <w:marLeft w:val="0"/>
          <w:marRight w:val="0"/>
          <w:marTop w:val="0"/>
          <w:marBottom w:val="0"/>
          <w:divBdr>
            <w:top w:val="none" w:sz="0" w:space="0" w:color="auto"/>
            <w:left w:val="none" w:sz="0" w:space="0" w:color="auto"/>
            <w:bottom w:val="none" w:sz="0" w:space="0" w:color="auto"/>
            <w:right w:val="none" w:sz="0" w:space="0" w:color="auto"/>
          </w:divBdr>
        </w:div>
        <w:div w:id="930049010">
          <w:marLeft w:val="0"/>
          <w:marRight w:val="0"/>
          <w:marTop w:val="0"/>
          <w:marBottom w:val="0"/>
          <w:divBdr>
            <w:top w:val="none" w:sz="0" w:space="0" w:color="auto"/>
            <w:left w:val="none" w:sz="0" w:space="0" w:color="auto"/>
            <w:bottom w:val="none" w:sz="0" w:space="0" w:color="auto"/>
            <w:right w:val="none" w:sz="0" w:space="0" w:color="auto"/>
          </w:divBdr>
        </w:div>
        <w:div w:id="1004431945">
          <w:marLeft w:val="0"/>
          <w:marRight w:val="0"/>
          <w:marTop w:val="0"/>
          <w:marBottom w:val="0"/>
          <w:divBdr>
            <w:top w:val="none" w:sz="0" w:space="0" w:color="auto"/>
            <w:left w:val="none" w:sz="0" w:space="0" w:color="auto"/>
            <w:bottom w:val="none" w:sz="0" w:space="0" w:color="auto"/>
            <w:right w:val="none" w:sz="0" w:space="0" w:color="auto"/>
          </w:divBdr>
        </w:div>
        <w:div w:id="1056128825">
          <w:marLeft w:val="0"/>
          <w:marRight w:val="0"/>
          <w:marTop w:val="0"/>
          <w:marBottom w:val="0"/>
          <w:divBdr>
            <w:top w:val="none" w:sz="0" w:space="0" w:color="auto"/>
            <w:left w:val="none" w:sz="0" w:space="0" w:color="auto"/>
            <w:bottom w:val="none" w:sz="0" w:space="0" w:color="auto"/>
            <w:right w:val="none" w:sz="0" w:space="0" w:color="auto"/>
          </w:divBdr>
        </w:div>
        <w:div w:id="1102451296">
          <w:marLeft w:val="0"/>
          <w:marRight w:val="0"/>
          <w:marTop w:val="0"/>
          <w:marBottom w:val="0"/>
          <w:divBdr>
            <w:top w:val="none" w:sz="0" w:space="0" w:color="auto"/>
            <w:left w:val="none" w:sz="0" w:space="0" w:color="auto"/>
            <w:bottom w:val="none" w:sz="0" w:space="0" w:color="auto"/>
            <w:right w:val="none" w:sz="0" w:space="0" w:color="auto"/>
          </w:divBdr>
        </w:div>
        <w:div w:id="1136874950">
          <w:marLeft w:val="0"/>
          <w:marRight w:val="0"/>
          <w:marTop w:val="0"/>
          <w:marBottom w:val="0"/>
          <w:divBdr>
            <w:top w:val="none" w:sz="0" w:space="0" w:color="auto"/>
            <w:left w:val="none" w:sz="0" w:space="0" w:color="auto"/>
            <w:bottom w:val="none" w:sz="0" w:space="0" w:color="auto"/>
            <w:right w:val="none" w:sz="0" w:space="0" w:color="auto"/>
          </w:divBdr>
        </w:div>
        <w:div w:id="1145969831">
          <w:marLeft w:val="0"/>
          <w:marRight w:val="0"/>
          <w:marTop w:val="0"/>
          <w:marBottom w:val="0"/>
          <w:divBdr>
            <w:top w:val="none" w:sz="0" w:space="0" w:color="auto"/>
            <w:left w:val="none" w:sz="0" w:space="0" w:color="auto"/>
            <w:bottom w:val="none" w:sz="0" w:space="0" w:color="auto"/>
            <w:right w:val="none" w:sz="0" w:space="0" w:color="auto"/>
          </w:divBdr>
        </w:div>
        <w:div w:id="1192955999">
          <w:marLeft w:val="0"/>
          <w:marRight w:val="0"/>
          <w:marTop w:val="0"/>
          <w:marBottom w:val="0"/>
          <w:divBdr>
            <w:top w:val="none" w:sz="0" w:space="0" w:color="auto"/>
            <w:left w:val="none" w:sz="0" w:space="0" w:color="auto"/>
            <w:bottom w:val="none" w:sz="0" w:space="0" w:color="auto"/>
            <w:right w:val="none" w:sz="0" w:space="0" w:color="auto"/>
          </w:divBdr>
        </w:div>
        <w:div w:id="1262644537">
          <w:marLeft w:val="0"/>
          <w:marRight w:val="0"/>
          <w:marTop w:val="0"/>
          <w:marBottom w:val="0"/>
          <w:divBdr>
            <w:top w:val="none" w:sz="0" w:space="0" w:color="auto"/>
            <w:left w:val="none" w:sz="0" w:space="0" w:color="auto"/>
            <w:bottom w:val="none" w:sz="0" w:space="0" w:color="auto"/>
            <w:right w:val="none" w:sz="0" w:space="0" w:color="auto"/>
          </w:divBdr>
        </w:div>
        <w:div w:id="1367174259">
          <w:marLeft w:val="0"/>
          <w:marRight w:val="0"/>
          <w:marTop w:val="0"/>
          <w:marBottom w:val="0"/>
          <w:divBdr>
            <w:top w:val="none" w:sz="0" w:space="0" w:color="auto"/>
            <w:left w:val="none" w:sz="0" w:space="0" w:color="auto"/>
            <w:bottom w:val="none" w:sz="0" w:space="0" w:color="auto"/>
            <w:right w:val="none" w:sz="0" w:space="0" w:color="auto"/>
          </w:divBdr>
        </w:div>
        <w:div w:id="1465544627">
          <w:marLeft w:val="0"/>
          <w:marRight w:val="0"/>
          <w:marTop w:val="0"/>
          <w:marBottom w:val="0"/>
          <w:divBdr>
            <w:top w:val="none" w:sz="0" w:space="0" w:color="auto"/>
            <w:left w:val="none" w:sz="0" w:space="0" w:color="auto"/>
            <w:bottom w:val="none" w:sz="0" w:space="0" w:color="auto"/>
            <w:right w:val="none" w:sz="0" w:space="0" w:color="auto"/>
          </w:divBdr>
        </w:div>
        <w:div w:id="1469397489">
          <w:marLeft w:val="0"/>
          <w:marRight w:val="0"/>
          <w:marTop w:val="0"/>
          <w:marBottom w:val="0"/>
          <w:divBdr>
            <w:top w:val="none" w:sz="0" w:space="0" w:color="auto"/>
            <w:left w:val="none" w:sz="0" w:space="0" w:color="auto"/>
            <w:bottom w:val="none" w:sz="0" w:space="0" w:color="auto"/>
            <w:right w:val="none" w:sz="0" w:space="0" w:color="auto"/>
          </w:divBdr>
        </w:div>
        <w:div w:id="1514537993">
          <w:marLeft w:val="0"/>
          <w:marRight w:val="0"/>
          <w:marTop w:val="0"/>
          <w:marBottom w:val="0"/>
          <w:divBdr>
            <w:top w:val="none" w:sz="0" w:space="0" w:color="auto"/>
            <w:left w:val="none" w:sz="0" w:space="0" w:color="auto"/>
            <w:bottom w:val="none" w:sz="0" w:space="0" w:color="auto"/>
            <w:right w:val="none" w:sz="0" w:space="0" w:color="auto"/>
          </w:divBdr>
        </w:div>
        <w:div w:id="1727948653">
          <w:marLeft w:val="0"/>
          <w:marRight w:val="0"/>
          <w:marTop w:val="0"/>
          <w:marBottom w:val="0"/>
          <w:divBdr>
            <w:top w:val="none" w:sz="0" w:space="0" w:color="auto"/>
            <w:left w:val="none" w:sz="0" w:space="0" w:color="auto"/>
            <w:bottom w:val="none" w:sz="0" w:space="0" w:color="auto"/>
            <w:right w:val="none" w:sz="0" w:space="0" w:color="auto"/>
          </w:divBdr>
        </w:div>
        <w:div w:id="1745760314">
          <w:marLeft w:val="0"/>
          <w:marRight w:val="0"/>
          <w:marTop w:val="0"/>
          <w:marBottom w:val="0"/>
          <w:divBdr>
            <w:top w:val="none" w:sz="0" w:space="0" w:color="auto"/>
            <w:left w:val="none" w:sz="0" w:space="0" w:color="auto"/>
            <w:bottom w:val="none" w:sz="0" w:space="0" w:color="auto"/>
            <w:right w:val="none" w:sz="0" w:space="0" w:color="auto"/>
          </w:divBdr>
        </w:div>
        <w:div w:id="1766070666">
          <w:marLeft w:val="0"/>
          <w:marRight w:val="0"/>
          <w:marTop w:val="0"/>
          <w:marBottom w:val="0"/>
          <w:divBdr>
            <w:top w:val="none" w:sz="0" w:space="0" w:color="auto"/>
            <w:left w:val="none" w:sz="0" w:space="0" w:color="auto"/>
            <w:bottom w:val="none" w:sz="0" w:space="0" w:color="auto"/>
            <w:right w:val="none" w:sz="0" w:space="0" w:color="auto"/>
          </w:divBdr>
        </w:div>
        <w:div w:id="2116170321">
          <w:marLeft w:val="0"/>
          <w:marRight w:val="0"/>
          <w:marTop w:val="0"/>
          <w:marBottom w:val="0"/>
          <w:divBdr>
            <w:top w:val="none" w:sz="0" w:space="0" w:color="auto"/>
            <w:left w:val="none" w:sz="0" w:space="0" w:color="auto"/>
            <w:bottom w:val="none" w:sz="0" w:space="0" w:color="auto"/>
            <w:right w:val="none" w:sz="0" w:space="0" w:color="auto"/>
          </w:divBdr>
        </w:div>
      </w:divsChild>
    </w:div>
    <w:div w:id="1619289927">
      <w:bodyDiv w:val="1"/>
      <w:marLeft w:val="0"/>
      <w:marRight w:val="0"/>
      <w:marTop w:val="0"/>
      <w:marBottom w:val="0"/>
      <w:divBdr>
        <w:top w:val="none" w:sz="0" w:space="0" w:color="auto"/>
        <w:left w:val="none" w:sz="0" w:space="0" w:color="auto"/>
        <w:bottom w:val="none" w:sz="0" w:space="0" w:color="auto"/>
        <w:right w:val="none" w:sz="0" w:space="0" w:color="auto"/>
      </w:divBdr>
    </w:div>
    <w:div w:id="1659844444">
      <w:bodyDiv w:val="1"/>
      <w:marLeft w:val="0"/>
      <w:marRight w:val="0"/>
      <w:marTop w:val="0"/>
      <w:marBottom w:val="0"/>
      <w:divBdr>
        <w:top w:val="none" w:sz="0" w:space="0" w:color="auto"/>
        <w:left w:val="none" w:sz="0" w:space="0" w:color="auto"/>
        <w:bottom w:val="none" w:sz="0" w:space="0" w:color="auto"/>
        <w:right w:val="none" w:sz="0" w:space="0" w:color="auto"/>
      </w:divBdr>
    </w:div>
    <w:div w:id="1688750646">
      <w:bodyDiv w:val="1"/>
      <w:marLeft w:val="0"/>
      <w:marRight w:val="0"/>
      <w:marTop w:val="0"/>
      <w:marBottom w:val="0"/>
      <w:divBdr>
        <w:top w:val="none" w:sz="0" w:space="0" w:color="auto"/>
        <w:left w:val="none" w:sz="0" w:space="0" w:color="auto"/>
        <w:bottom w:val="none" w:sz="0" w:space="0" w:color="auto"/>
        <w:right w:val="none" w:sz="0" w:space="0" w:color="auto"/>
      </w:divBdr>
    </w:div>
    <w:div w:id="1701929077">
      <w:bodyDiv w:val="1"/>
      <w:marLeft w:val="0"/>
      <w:marRight w:val="0"/>
      <w:marTop w:val="0"/>
      <w:marBottom w:val="0"/>
      <w:divBdr>
        <w:top w:val="none" w:sz="0" w:space="0" w:color="auto"/>
        <w:left w:val="none" w:sz="0" w:space="0" w:color="auto"/>
        <w:bottom w:val="none" w:sz="0" w:space="0" w:color="auto"/>
        <w:right w:val="none" w:sz="0" w:space="0" w:color="auto"/>
      </w:divBdr>
      <w:divsChild>
        <w:div w:id="49306669">
          <w:marLeft w:val="0"/>
          <w:marRight w:val="0"/>
          <w:marTop w:val="0"/>
          <w:marBottom w:val="0"/>
          <w:divBdr>
            <w:top w:val="none" w:sz="0" w:space="0" w:color="auto"/>
            <w:left w:val="none" w:sz="0" w:space="0" w:color="auto"/>
            <w:bottom w:val="none" w:sz="0" w:space="0" w:color="auto"/>
            <w:right w:val="none" w:sz="0" w:space="0" w:color="auto"/>
          </w:divBdr>
        </w:div>
        <w:div w:id="234361817">
          <w:marLeft w:val="0"/>
          <w:marRight w:val="0"/>
          <w:marTop w:val="0"/>
          <w:marBottom w:val="0"/>
          <w:divBdr>
            <w:top w:val="none" w:sz="0" w:space="0" w:color="auto"/>
            <w:left w:val="none" w:sz="0" w:space="0" w:color="auto"/>
            <w:bottom w:val="none" w:sz="0" w:space="0" w:color="auto"/>
            <w:right w:val="none" w:sz="0" w:space="0" w:color="auto"/>
          </w:divBdr>
        </w:div>
        <w:div w:id="386341674">
          <w:marLeft w:val="0"/>
          <w:marRight w:val="0"/>
          <w:marTop w:val="0"/>
          <w:marBottom w:val="0"/>
          <w:divBdr>
            <w:top w:val="none" w:sz="0" w:space="0" w:color="auto"/>
            <w:left w:val="none" w:sz="0" w:space="0" w:color="auto"/>
            <w:bottom w:val="none" w:sz="0" w:space="0" w:color="auto"/>
            <w:right w:val="none" w:sz="0" w:space="0" w:color="auto"/>
          </w:divBdr>
        </w:div>
        <w:div w:id="499541683">
          <w:marLeft w:val="0"/>
          <w:marRight w:val="0"/>
          <w:marTop w:val="0"/>
          <w:marBottom w:val="0"/>
          <w:divBdr>
            <w:top w:val="none" w:sz="0" w:space="0" w:color="auto"/>
            <w:left w:val="none" w:sz="0" w:space="0" w:color="auto"/>
            <w:bottom w:val="none" w:sz="0" w:space="0" w:color="auto"/>
            <w:right w:val="none" w:sz="0" w:space="0" w:color="auto"/>
          </w:divBdr>
        </w:div>
        <w:div w:id="602613393">
          <w:marLeft w:val="0"/>
          <w:marRight w:val="0"/>
          <w:marTop w:val="0"/>
          <w:marBottom w:val="0"/>
          <w:divBdr>
            <w:top w:val="none" w:sz="0" w:space="0" w:color="auto"/>
            <w:left w:val="none" w:sz="0" w:space="0" w:color="auto"/>
            <w:bottom w:val="none" w:sz="0" w:space="0" w:color="auto"/>
            <w:right w:val="none" w:sz="0" w:space="0" w:color="auto"/>
          </w:divBdr>
        </w:div>
        <w:div w:id="924605462">
          <w:marLeft w:val="0"/>
          <w:marRight w:val="0"/>
          <w:marTop w:val="0"/>
          <w:marBottom w:val="0"/>
          <w:divBdr>
            <w:top w:val="none" w:sz="0" w:space="0" w:color="auto"/>
            <w:left w:val="none" w:sz="0" w:space="0" w:color="auto"/>
            <w:bottom w:val="none" w:sz="0" w:space="0" w:color="auto"/>
            <w:right w:val="none" w:sz="0" w:space="0" w:color="auto"/>
          </w:divBdr>
        </w:div>
        <w:div w:id="991837906">
          <w:marLeft w:val="0"/>
          <w:marRight w:val="0"/>
          <w:marTop w:val="0"/>
          <w:marBottom w:val="0"/>
          <w:divBdr>
            <w:top w:val="none" w:sz="0" w:space="0" w:color="auto"/>
            <w:left w:val="none" w:sz="0" w:space="0" w:color="auto"/>
            <w:bottom w:val="none" w:sz="0" w:space="0" w:color="auto"/>
            <w:right w:val="none" w:sz="0" w:space="0" w:color="auto"/>
          </w:divBdr>
        </w:div>
        <w:div w:id="1275601825">
          <w:marLeft w:val="0"/>
          <w:marRight w:val="0"/>
          <w:marTop w:val="0"/>
          <w:marBottom w:val="0"/>
          <w:divBdr>
            <w:top w:val="none" w:sz="0" w:space="0" w:color="auto"/>
            <w:left w:val="none" w:sz="0" w:space="0" w:color="auto"/>
            <w:bottom w:val="none" w:sz="0" w:space="0" w:color="auto"/>
            <w:right w:val="none" w:sz="0" w:space="0" w:color="auto"/>
          </w:divBdr>
        </w:div>
        <w:div w:id="1735398076">
          <w:marLeft w:val="0"/>
          <w:marRight w:val="0"/>
          <w:marTop w:val="0"/>
          <w:marBottom w:val="0"/>
          <w:divBdr>
            <w:top w:val="none" w:sz="0" w:space="0" w:color="auto"/>
            <w:left w:val="none" w:sz="0" w:space="0" w:color="auto"/>
            <w:bottom w:val="none" w:sz="0" w:space="0" w:color="auto"/>
            <w:right w:val="none" w:sz="0" w:space="0" w:color="auto"/>
          </w:divBdr>
        </w:div>
        <w:div w:id="2077969038">
          <w:marLeft w:val="0"/>
          <w:marRight w:val="0"/>
          <w:marTop w:val="0"/>
          <w:marBottom w:val="0"/>
          <w:divBdr>
            <w:top w:val="none" w:sz="0" w:space="0" w:color="auto"/>
            <w:left w:val="none" w:sz="0" w:space="0" w:color="auto"/>
            <w:bottom w:val="none" w:sz="0" w:space="0" w:color="auto"/>
            <w:right w:val="none" w:sz="0" w:space="0" w:color="auto"/>
          </w:divBdr>
        </w:div>
      </w:divsChild>
    </w:div>
    <w:div w:id="1742436647">
      <w:bodyDiv w:val="1"/>
      <w:marLeft w:val="0"/>
      <w:marRight w:val="0"/>
      <w:marTop w:val="0"/>
      <w:marBottom w:val="0"/>
      <w:divBdr>
        <w:top w:val="none" w:sz="0" w:space="0" w:color="auto"/>
        <w:left w:val="none" w:sz="0" w:space="0" w:color="auto"/>
        <w:bottom w:val="none" w:sz="0" w:space="0" w:color="auto"/>
        <w:right w:val="none" w:sz="0" w:space="0" w:color="auto"/>
      </w:divBdr>
    </w:div>
    <w:div w:id="1764104776">
      <w:bodyDiv w:val="1"/>
      <w:marLeft w:val="0"/>
      <w:marRight w:val="0"/>
      <w:marTop w:val="0"/>
      <w:marBottom w:val="0"/>
      <w:divBdr>
        <w:top w:val="none" w:sz="0" w:space="0" w:color="auto"/>
        <w:left w:val="none" w:sz="0" w:space="0" w:color="auto"/>
        <w:bottom w:val="none" w:sz="0" w:space="0" w:color="auto"/>
        <w:right w:val="none" w:sz="0" w:space="0" w:color="auto"/>
      </w:divBdr>
      <w:divsChild>
        <w:div w:id="386488322">
          <w:marLeft w:val="0"/>
          <w:marRight w:val="0"/>
          <w:marTop w:val="0"/>
          <w:marBottom w:val="0"/>
          <w:divBdr>
            <w:top w:val="none" w:sz="0" w:space="0" w:color="auto"/>
            <w:left w:val="none" w:sz="0" w:space="0" w:color="auto"/>
            <w:bottom w:val="none" w:sz="0" w:space="0" w:color="auto"/>
            <w:right w:val="none" w:sz="0" w:space="0" w:color="auto"/>
          </w:divBdr>
        </w:div>
        <w:div w:id="537667086">
          <w:marLeft w:val="0"/>
          <w:marRight w:val="0"/>
          <w:marTop w:val="0"/>
          <w:marBottom w:val="0"/>
          <w:divBdr>
            <w:top w:val="none" w:sz="0" w:space="0" w:color="auto"/>
            <w:left w:val="none" w:sz="0" w:space="0" w:color="auto"/>
            <w:bottom w:val="none" w:sz="0" w:space="0" w:color="auto"/>
            <w:right w:val="none" w:sz="0" w:space="0" w:color="auto"/>
          </w:divBdr>
        </w:div>
        <w:div w:id="1541867992">
          <w:marLeft w:val="0"/>
          <w:marRight w:val="0"/>
          <w:marTop w:val="0"/>
          <w:marBottom w:val="0"/>
          <w:divBdr>
            <w:top w:val="none" w:sz="0" w:space="0" w:color="auto"/>
            <w:left w:val="none" w:sz="0" w:space="0" w:color="auto"/>
            <w:bottom w:val="none" w:sz="0" w:space="0" w:color="auto"/>
            <w:right w:val="none" w:sz="0" w:space="0" w:color="auto"/>
          </w:divBdr>
        </w:div>
        <w:div w:id="1761945965">
          <w:marLeft w:val="0"/>
          <w:marRight w:val="0"/>
          <w:marTop w:val="0"/>
          <w:marBottom w:val="0"/>
          <w:divBdr>
            <w:top w:val="none" w:sz="0" w:space="0" w:color="auto"/>
            <w:left w:val="none" w:sz="0" w:space="0" w:color="auto"/>
            <w:bottom w:val="none" w:sz="0" w:space="0" w:color="auto"/>
            <w:right w:val="none" w:sz="0" w:space="0" w:color="auto"/>
          </w:divBdr>
        </w:div>
      </w:divsChild>
    </w:div>
    <w:div w:id="1766882881">
      <w:bodyDiv w:val="1"/>
      <w:marLeft w:val="0"/>
      <w:marRight w:val="0"/>
      <w:marTop w:val="0"/>
      <w:marBottom w:val="0"/>
      <w:divBdr>
        <w:top w:val="none" w:sz="0" w:space="0" w:color="auto"/>
        <w:left w:val="none" w:sz="0" w:space="0" w:color="auto"/>
        <w:bottom w:val="none" w:sz="0" w:space="0" w:color="auto"/>
        <w:right w:val="none" w:sz="0" w:space="0" w:color="auto"/>
      </w:divBdr>
    </w:div>
    <w:div w:id="1869373599">
      <w:bodyDiv w:val="1"/>
      <w:marLeft w:val="0"/>
      <w:marRight w:val="0"/>
      <w:marTop w:val="0"/>
      <w:marBottom w:val="0"/>
      <w:divBdr>
        <w:top w:val="none" w:sz="0" w:space="0" w:color="auto"/>
        <w:left w:val="none" w:sz="0" w:space="0" w:color="auto"/>
        <w:bottom w:val="none" w:sz="0" w:space="0" w:color="auto"/>
        <w:right w:val="none" w:sz="0" w:space="0" w:color="auto"/>
      </w:divBdr>
    </w:div>
    <w:div w:id="1874226145">
      <w:bodyDiv w:val="1"/>
      <w:marLeft w:val="0"/>
      <w:marRight w:val="0"/>
      <w:marTop w:val="0"/>
      <w:marBottom w:val="0"/>
      <w:divBdr>
        <w:top w:val="none" w:sz="0" w:space="0" w:color="auto"/>
        <w:left w:val="none" w:sz="0" w:space="0" w:color="auto"/>
        <w:bottom w:val="none" w:sz="0" w:space="0" w:color="auto"/>
        <w:right w:val="none" w:sz="0" w:space="0" w:color="auto"/>
      </w:divBdr>
      <w:divsChild>
        <w:div w:id="677073597">
          <w:marLeft w:val="0"/>
          <w:marRight w:val="0"/>
          <w:marTop w:val="0"/>
          <w:marBottom w:val="0"/>
          <w:divBdr>
            <w:top w:val="none" w:sz="0" w:space="0" w:color="auto"/>
            <w:left w:val="none" w:sz="0" w:space="0" w:color="auto"/>
            <w:bottom w:val="none" w:sz="0" w:space="0" w:color="auto"/>
            <w:right w:val="none" w:sz="0" w:space="0" w:color="auto"/>
          </w:divBdr>
        </w:div>
        <w:div w:id="737362089">
          <w:marLeft w:val="0"/>
          <w:marRight w:val="0"/>
          <w:marTop w:val="0"/>
          <w:marBottom w:val="0"/>
          <w:divBdr>
            <w:top w:val="none" w:sz="0" w:space="0" w:color="auto"/>
            <w:left w:val="none" w:sz="0" w:space="0" w:color="auto"/>
            <w:bottom w:val="none" w:sz="0" w:space="0" w:color="auto"/>
            <w:right w:val="none" w:sz="0" w:space="0" w:color="auto"/>
          </w:divBdr>
        </w:div>
        <w:div w:id="874081784">
          <w:marLeft w:val="0"/>
          <w:marRight w:val="0"/>
          <w:marTop w:val="0"/>
          <w:marBottom w:val="0"/>
          <w:divBdr>
            <w:top w:val="none" w:sz="0" w:space="0" w:color="auto"/>
            <w:left w:val="none" w:sz="0" w:space="0" w:color="auto"/>
            <w:bottom w:val="none" w:sz="0" w:space="0" w:color="auto"/>
            <w:right w:val="none" w:sz="0" w:space="0" w:color="auto"/>
          </w:divBdr>
        </w:div>
        <w:div w:id="1025398712">
          <w:marLeft w:val="0"/>
          <w:marRight w:val="0"/>
          <w:marTop w:val="0"/>
          <w:marBottom w:val="0"/>
          <w:divBdr>
            <w:top w:val="none" w:sz="0" w:space="0" w:color="auto"/>
            <w:left w:val="none" w:sz="0" w:space="0" w:color="auto"/>
            <w:bottom w:val="none" w:sz="0" w:space="0" w:color="auto"/>
            <w:right w:val="none" w:sz="0" w:space="0" w:color="auto"/>
          </w:divBdr>
        </w:div>
        <w:div w:id="1043556231">
          <w:marLeft w:val="0"/>
          <w:marRight w:val="0"/>
          <w:marTop w:val="0"/>
          <w:marBottom w:val="0"/>
          <w:divBdr>
            <w:top w:val="none" w:sz="0" w:space="0" w:color="auto"/>
            <w:left w:val="none" w:sz="0" w:space="0" w:color="auto"/>
            <w:bottom w:val="none" w:sz="0" w:space="0" w:color="auto"/>
            <w:right w:val="none" w:sz="0" w:space="0" w:color="auto"/>
          </w:divBdr>
        </w:div>
        <w:div w:id="1091776373">
          <w:marLeft w:val="0"/>
          <w:marRight w:val="0"/>
          <w:marTop w:val="0"/>
          <w:marBottom w:val="0"/>
          <w:divBdr>
            <w:top w:val="none" w:sz="0" w:space="0" w:color="auto"/>
            <w:left w:val="none" w:sz="0" w:space="0" w:color="auto"/>
            <w:bottom w:val="none" w:sz="0" w:space="0" w:color="auto"/>
            <w:right w:val="none" w:sz="0" w:space="0" w:color="auto"/>
          </w:divBdr>
        </w:div>
        <w:div w:id="1280642439">
          <w:marLeft w:val="0"/>
          <w:marRight w:val="0"/>
          <w:marTop w:val="0"/>
          <w:marBottom w:val="0"/>
          <w:divBdr>
            <w:top w:val="none" w:sz="0" w:space="0" w:color="auto"/>
            <w:left w:val="none" w:sz="0" w:space="0" w:color="auto"/>
            <w:bottom w:val="none" w:sz="0" w:space="0" w:color="auto"/>
            <w:right w:val="none" w:sz="0" w:space="0" w:color="auto"/>
          </w:divBdr>
        </w:div>
        <w:div w:id="1362901517">
          <w:marLeft w:val="0"/>
          <w:marRight w:val="0"/>
          <w:marTop w:val="0"/>
          <w:marBottom w:val="0"/>
          <w:divBdr>
            <w:top w:val="none" w:sz="0" w:space="0" w:color="auto"/>
            <w:left w:val="none" w:sz="0" w:space="0" w:color="auto"/>
            <w:bottom w:val="none" w:sz="0" w:space="0" w:color="auto"/>
            <w:right w:val="none" w:sz="0" w:space="0" w:color="auto"/>
          </w:divBdr>
        </w:div>
        <w:div w:id="1378433056">
          <w:marLeft w:val="0"/>
          <w:marRight w:val="0"/>
          <w:marTop w:val="0"/>
          <w:marBottom w:val="0"/>
          <w:divBdr>
            <w:top w:val="none" w:sz="0" w:space="0" w:color="auto"/>
            <w:left w:val="none" w:sz="0" w:space="0" w:color="auto"/>
            <w:bottom w:val="none" w:sz="0" w:space="0" w:color="auto"/>
            <w:right w:val="none" w:sz="0" w:space="0" w:color="auto"/>
          </w:divBdr>
        </w:div>
        <w:div w:id="1872910310">
          <w:marLeft w:val="0"/>
          <w:marRight w:val="0"/>
          <w:marTop w:val="0"/>
          <w:marBottom w:val="0"/>
          <w:divBdr>
            <w:top w:val="none" w:sz="0" w:space="0" w:color="auto"/>
            <w:left w:val="none" w:sz="0" w:space="0" w:color="auto"/>
            <w:bottom w:val="none" w:sz="0" w:space="0" w:color="auto"/>
            <w:right w:val="none" w:sz="0" w:space="0" w:color="auto"/>
          </w:divBdr>
        </w:div>
      </w:divsChild>
    </w:div>
    <w:div w:id="1914000308">
      <w:bodyDiv w:val="1"/>
      <w:marLeft w:val="0"/>
      <w:marRight w:val="0"/>
      <w:marTop w:val="0"/>
      <w:marBottom w:val="0"/>
      <w:divBdr>
        <w:top w:val="none" w:sz="0" w:space="0" w:color="auto"/>
        <w:left w:val="none" w:sz="0" w:space="0" w:color="auto"/>
        <w:bottom w:val="none" w:sz="0" w:space="0" w:color="auto"/>
        <w:right w:val="none" w:sz="0" w:space="0" w:color="auto"/>
      </w:divBdr>
      <w:divsChild>
        <w:div w:id="384451635">
          <w:marLeft w:val="360"/>
          <w:marRight w:val="0"/>
          <w:marTop w:val="200"/>
          <w:marBottom w:val="0"/>
          <w:divBdr>
            <w:top w:val="none" w:sz="0" w:space="0" w:color="auto"/>
            <w:left w:val="none" w:sz="0" w:space="0" w:color="auto"/>
            <w:bottom w:val="none" w:sz="0" w:space="0" w:color="auto"/>
            <w:right w:val="none" w:sz="0" w:space="0" w:color="auto"/>
          </w:divBdr>
        </w:div>
      </w:divsChild>
    </w:div>
    <w:div w:id="1978686100">
      <w:bodyDiv w:val="1"/>
      <w:marLeft w:val="0"/>
      <w:marRight w:val="0"/>
      <w:marTop w:val="0"/>
      <w:marBottom w:val="0"/>
      <w:divBdr>
        <w:top w:val="none" w:sz="0" w:space="0" w:color="auto"/>
        <w:left w:val="none" w:sz="0" w:space="0" w:color="auto"/>
        <w:bottom w:val="none" w:sz="0" w:space="0" w:color="auto"/>
        <w:right w:val="none" w:sz="0" w:space="0" w:color="auto"/>
      </w:divBdr>
      <w:divsChild>
        <w:div w:id="91169171">
          <w:marLeft w:val="0"/>
          <w:marRight w:val="0"/>
          <w:marTop w:val="0"/>
          <w:marBottom w:val="0"/>
          <w:divBdr>
            <w:top w:val="none" w:sz="0" w:space="0" w:color="auto"/>
            <w:left w:val="none" w:sz="0" w:space="0" w:color="auto"/>
            <w:bottom w:val="none" w:sz="0" w:space="0" w:color="auto"/>
            <w:right w:val="none" w:sz="0" w:space="0" w:color="auto"/>
          </w:divBdr>
        </w:div>
        <w:div w:id="193663235">
          <w:marLeft w:val="0"/>
          <w:marRight w:val="0"/>
          <w:marTop w:val="0"/>
          <w:marBottom w:val="0"/>
          <w:divBdr>
            <w:top w:val="none" w:sz="0" w:space="0" w:color="auto"/>
            <w:left w:val="none" w:sz="0" w:space="0" w:color="auto"/>
            <w:bottom w:val="none" w:sz="0" w:space="0" w:color="auto"/>
            <w:right w:val="none" w:sz="0" w:space="0" w:color="auto"/>
          </w:divBdr>
        </w:div>
        <w:div w:id="206912907">
          <w:marLeft w:val="0"/>
          <w:marRight w:val="0"/>
          <w:marTop w:val="0"/>
          <w:marBottom w:val="0"/>
          <w:divBdr>
            <w:top w:val="none" w:sz="0" w:space="0" w:color="auto"/>
            <w:left w:val="none" w:sz="0" w:space="0" w:color="auto"/>
            <w:bottom w:val="none" w:sz="0" w:space="0" w:color="auto"/>
            <w:right w:val="none" w:sz="0" w:space="0" w:color="auto"/>
          </w:divBdr>
        </w:div>
        <w:div w:id="290746457">
          <w:marLeft w:val="0"/>
          <w:marRight w:val="0"/>
          <w:marTop w:val="0"/>
          <w:marBottom w:val="0"/>
          <w:divBdr>
            <w:top w:val="none" w:sz="0" w:space="0" w:color="auto"/>
            <w:left w:val="none" w:sz="0" w:space="0" w:color="auto"/>
            <w:bottom w:val="none" w:sz="0" w:space="0" w:color="auto"/>
            <w:right w:val="none" w:sz="0" w:space="0" w:color="auto"/>
          </w:divBdr>
        </w:div>
        <w:div w:id="294415813">
          <w:marLeft w:val="0"/>
          <w:marRight w:val="0"/>
          <w:marTop w:val="0"/>
          <w:marBottom w:val="0"/>
          <w:divBdr>
            <w:top w:val="none" w:sz="0" w:space="0" w:color="auto"/>
            <w:left w:val="none" w:sz="0" w:space="0" w:color="auto"/>
            <w:bottom w:val="none" w:sz="0" w:space="0" w:color="auto"/>
            <w:right w:val="none" w:sz="0" w:space="0" w:color="auto"/>
          </w:divBdr>
        </w:div>
        <w:div w:id="331758650">
          <w:marLeft w:val="0"/>
          <w:marRight w:val="0"/>
          <w:marTop w:val="0"/>
          <w:marBottom w:val="0"/>
          <w:divBdr>
            <w:top w:val="none" w:sz="0" w:space="0" w:color="auto"/>
            <w:left w:val="none" w:sz="0" w:space="0" w:color="auto"/>
            <w:bottom w:val="none" w:sz="0" w:space="0" w:color="auto"/>
            <w:right w:val="none" w:sz="0" w:space="0" w:color="auto"/>
          </w:divBdr>
        </w:div>
        <w:div w:id="606540626">
          <w:marLeft w:val="0"/>
          <w:marRight w:val="0"/>
          <w:marTop w:val="0"/>
          <w:marBottom w:val="0"/>
          <w:divBdr>
            <w:top w:val="none" w:sz="0" w:space="0" w:color="auto"/>
            <w:left w:val="none" w:sz="0" w:space="0" w:color="auto"/>
            <w:bottom w:val="none" w:sz="0" w:space="0" w:color="auto"/>
            <w:right w:val="none" w:sz="0" w:space="0" w:color="auto"/>
          </w:divBdr>
        </w:div>
        <w:div w:id="684745633">
          <w:marLeft w:val="0"/>
          <w:marRight w:val="0"/>
          <w:marTop w:val="0"/>
          <w:marBottom w:val="0"/>
          <w:divBdr>
            <w:top w:val="none" w:sz="0" w:space="0" w:color="auto"/>
            <w:left w:val="none" w:sz="0" w:space="0" w:color="auto"/>
            <w:bottom w:val="none" w:sz="0" w:space="0" w:color="auto"/>
            <w:right w:val="none" w:sz="0" w:space="0" w:color="auto"/>
          </w:divBdr>
        </w:div>
        <w:div w:id="1137340487">
          <w:marLeft w:val="0"/>
          <w:marRight w:val="0"/>
          <w:marTop w:val="0"/>
          <w:marBottom w:val="0"/>
          <w:divBdr>
            <w:top w:val="none" w:sz="0" w:space="0" w:color="auto"/>
            <w:left w:val="none" w:sz="0" w:space="0" w:color="auto"/>
            <w:bottom w:val="none" w:sz="0" w:space="0" w:color="auto"/>
            <w:right w:val="none" w:sz="0" w:space="0" w:color="auto"/>
          </w:divBdr>
        </w:div>
        <w:div w:id="1144196700">
          <w:marLeft w:val="0"/>
          <w:marRight w:val="0"/>
          <w:marTop w:val="0"/>
          <w:marBottom w:val="0"/>
          <w:divBdr>
            <w:top w:val="none" w:sz="0" w:space="0" w:color="auto"/>
            <w:left w:val="none" w:sz="0" w:space="0" w:color="auto"/>
            <w:bottom w:val="none" w:sz="0" w:space="0" w:color="auto"/>
            <w:right w:val="none" w:sz="0" w:space="0" w:color="auto"/>
          </w:divBdr>
        </w:div>
        <w:div w:id="1516387245">
          <w:marLeft w:val="0"/>
          <w:marRight w:val="0"/>
          <w:marTop w:val="0"/>
          <w:marBottom w:val="0"/>
          <w:divBdr>
            <w:top w:val="none" w:sz="0" w:space="0" w:color="auto"/>
            <w:left w:val="none" w:sz="0" w:space="0" w:color="auto"/>
            <w:bottom w:val="none" w:sz="0" w:space="0" w:color="auto"/>
            <w:right w:val="none" w:sz="0" w:space="0" w:color="auto"/>
          </w:divBdr>
        </w:div>
        <w:div w:id="1703827189">
          <w:marLeft w:val="0"/>
          <w:marRight w:val="0"/>
          <w:marTop w:val="0"/>
          <w:marBottom w:val="0"/>
          <w:divBdr>
            <w:top w:val="none" w:sz="0" w:space="0" w:color="auto"/>
            <w:left w:val="none" w:sz="0" w:space="0" w:color="auto"/>
            <w:bottom w:val="none" w:sz="0" w:space="0" w:color="auto"/>
            <w:right w:val="none" w:sz="0" w:space="0" w:color="auto"/>
          </w:divBdr>
        </w:div>
      </w:divsChild>
    </w:div>
    <w:div w:id="2090761909">
      <w:bodyDiv w:val="1"/>
      <w:marLeft w:val="0"/>
      <w:marRight w:val="0"/>
      <w:marTop w:val="0"/>
      <w:marBottom w:val="0"/>
      <w:divBdr>
        <w:top w:val="none" w:sz="0" w:space="0" w:color="auto"/>
        <w:left w:val="none" w:sz="0" w:space="0" w:color="auto"/>
        <w:bottom w:val="none" w:sz="0" w:space="0" w:color="auto"/>
        <w:right w:val="none" w:sz="0" w:space="0" w:color="auto"/>
      </w:divBdr>
    </w:div>
    <w:div w:id="2098088311">
      <w:bodyDiv w:val="1"/>
      <w:marLeft w:val="0"/>
      <w:marRight w:val="0"/>
      <w:marTop w:val="0"/>
      <w:marBottom w:val="0"/>
      <w:divBdr>
        <w:top w:val="none" w:sz="0" w:space="0" w:color="auto"/>
        <w:left w:val="none" w:sz="0" w:space="0" w:color="auto"/>
        <w:bottom w:val="none" w:sz="0" w:space="0" w:color="auto"/>
        <w:right w:val="none" w:sz="0" w:space="0" w:color="auto"/>
      </w:divBdr>
      <w:divsChild>
        <w:div w:id="81689151">
          <w:marLeft w:val="0"/>
          <w:marRight w:val="0"/>
          <w:marTop w:val="0"/>
          <w:marBottom w:val="0"/>
          <w:divBdr>
            <w:top w:val="none" w:sz="0" w:space="0" w:color="auto"/>
            <w:left w:val="none" w:sz="0" w:space="0" w:color="auto"/>
            <w:bottom w:val="none" w:sz="0" w:space="0" w:color="auto"/>
            <w:right w:val="none" w:sz="0" w:space="0" w:color="auto"/>
          </w:divBdr>
        </w:div>
        <w:div w:id="522717218">
          <w:marLeft w:val="0"/>
          <w:marRight w:val="0"/>
          <w:marTop w:val="0"/>
          <w:marBottom w:val="0"/>
          <w:divBdr>
            <w:top w:val="none" w:sz="0" w:space="0" w:color="auto"/>
            <w:left w:val="none" w:sz="0" w:space="0" w:color="auto"/>
            <w:bottom w:val="none" w:sz="0" w:space="0" w:color="auto"/>
            <w:right w:val="none" w:sz="0" w:space="0" w:color="auto"/>
          </w:divBdr>
        </w:div>
        <w:div w:id="697201156">
          <w:marLeft w:val="0"/>
          <w:marRight w:val="0"/>
          <w:marTop w:val="0"/>
          <w:marBottom w:val="0"/>
          <w:divBdr>
            <w:top w:val="none" w:sz="0" w:space="0" w:color="auto"/>
            <w:left w:val="none" w:sz="0" w:space="0" w:color="auto"/>
            <w:bottom w:val="none" w:sz="0" w:space="0" w:color="auto"/>
            <w:right w:val="none" w:sz="0" w:space="0" w:color="auto"/>
          </w:divBdr>
        </w:div>
        <w:div w:id="1750077694">
          <w:marLeft w:val="0"/>
          <w:marRight w:val="0"/>
          <w:marTop w:val="0"/>
          <w:marBottom w:val="0"/>
          <w:divBdr>
            <w:top w:val="none" w:sz="0" w:space="0" w:color="auto"/>
            <w:left w:val="none" w:sz="0" w:space="0" w:color="auto"/>
            <w:bottom w:val="none" w:sz="0" w:space="0" w:color="auto"/>
            <w:right w:val="none" w:sz="0" w:space="0" w:color="auto"/>
          </w:divBdr>
        </w:div>
      </w:divsChild>
    </w:div>
    <w:div w:id="2107114067">
      <w:bodyDiv w:val="1"/>
      <w:marLeft w:val="0"/>
      <w:marRight w:val="0"/>
      <w:marTop w:val="0"/>
      <w:marBottom w:val="0"/>
      <w:divBdr>
        <w:top w:val="none" w:sz="0" w:space="0" w:color="auto"/>
        <w:left w:val="none" w:sz="0" w:space="0" w:color="auto"/>
        <w:bottom w:val="none" w:sz="0" w:space="0" w:color="auto"/>
        <w:right w:val="none" w:sz="0" w:space="0" w:color="auto"/>
      </w:divBdr>
    </w:div>
    <w:div w:id="2129935252">
      <w:bodyDiv w:val="1"/>
      <w:marLeft w:val="0"/>
      <w:marRight w:val="0"/>
      <w:marTop w:val="0"/>
      <w:marBottom w:val="0"/>
      <w:divBdr>
        <w:top w:val="none" w:sz="0" w:space="0" w:color="auto"/>
        <w:left w:val="none" w:sz="0" w:space="0" w:color="auto"/>
        <w:bottom w:val="none" w:sz="0" w:space="0" w:color="auto"/>
        <w:right w:val="none" w:sz="0" w:space="0" w:color="auto"/>
      </w:divBdr>
      <w:divsChild>
        <w:div w:id="64497230">
          <w:marLeft w:val="0"/>
          <w:marRight w:val="0"/>
          <w:marTop w:val="0"/>
          <w:marBottom w:val="0"/>
          <w:divBdr>
            <w:top w:val="none" w:sz="0" w:space="0" w:color="auto"/>
            <w:left w:val="none" w:sz="0" w:space="0" w:color="auto"/>
            <w:bottom w:val="none" w:sz="0" w:space="0" w:color="auto"/>
            <w:right w:val="none" w:sz="0" w:space="0" w:color="auto"/>
          </w:divBdr>
        </w:div>
        <w:div w:id="562104467">
          <w:marLeft w:val="0"/>
          <w:marRight w:val="0"/>
          <w:marTop w:val="0"/>
          <w:marBottom w:val="0"/>
          <w:divBdr>
            <w:top w:val="none" w:sz="0" w:space="0" w:color="auto"/>
            <w:left w:val="none" w:sz="0" w:space="0" w:color="auto"/>
            <w:bottom w:val="none" w:sz="0" w:space="0" w:color="auto"/>
            <w:right w:val="none" w:sz="0" w:space="0" w:color="auto"/>
          </w:divBdr>
        </w:div>
        <w:div w:id="1305113301">
          <w:marLeft w:val="0"/>
          <w:marRight w:val="0"/>
          <w:marTop w:val="0"/>
          <w:marBottom w:val="0"/>
          <w:divBdr>
            <w:top w:val="none" w:sz="0" w:space="0" w:color="auto"/>
            <w:left w:val="none" w:sz="0" w:space="0" w:color="auto"/>
            <w:bottom w:val="none" w:sz="0" w:space="0" w:color="auto"/>
            <w:right w:val="none" w:sz="0" w:space="0" w:color="auto"/>
          </w:divBdr>
        </w:div>
        <w:div w:id="1530677645">
          <w:marLeft w:val="0"/>
          <w:marRight w:val="0"/>
          <w:marTop w:val="0"/>
          <w:marBottom w:val="0"/>
          <w:divBdr>
            <w:top w:val="none" w:sz="0" w:space="0" w:color="auto"/>
            <w:left w:val="none" w:sz="0" w:space="0" w:color="auto"/>
            <w:bottom w:val="none" w:sz="0" w:space="0" w:color="auto"/>
            <w:right w:val="none" w:sz="0" w:space="0" w:color="auto"/>
          </w:divBdr>
        </w:div>
        <w:div w:id="1546529954">
          <w:marLeft w:val="0"/>
          <w:marRight w:val="0"/>
          <w:marTop w:val="0"/>
          <w:marBottom w:val="0"/>
          <w:divBdr>
            <w:top w:val="none" w:sz="0" w:space="0" w:color="auto"/>
            <w:left w:val="none" w:sz="0" w:space="0" w:color="auto"/>
            <w:bottom w:val="none" w:sz="0" w:space="0" w:color="auto"/>
            <w:right w:val="none" w:sz="0" w:space="0" w:color="auto"/>
          </w:divBdr>
        </w:div>
        <w:div w:id="1568951344">
          <w:marLeft w:val="0"/>
          <w:marRight w:val="0"/>
          <w:marTop w:val="0"/>
          <w:marBottom w:val="0"/>
          <w:divBdr>
            <w:top w:val="none" w:sz="0" w:space="0" w:color="auto"/>
            <w:left w:val="none" w:sz="0" w:space="0" w:color="auto"/>
            <w:bottom w:val="none" w:sz="0" w:space="0" w:color="auto"/>
            <w:right w:val="none" w:sz="0" w:space="0" w:color="auto"/>
          </w:divBdr>
        </w:div>
        <w:div w:id="1777825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Datos%20para%20Inf%20Circunstanciado\Organismos%20del%20Estado%20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atos%20para%20Inf%20Circunstanciado\Organismos%20del%20Estado%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atos%20para%20Inf%20Circunstanciado\Organismos%20del%20Estado%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9"/>
    </mc:Choice>
    <mc:Fallback>
      <c:style val="9"/>
    </mc:Fallback>
  </mc:AlternateContent>
  <c:chart>
    <c:title>
      <c:overlay val="0"/>
    </c:title>
    <c:autoTitleDeleted val="0"/>
    <c:plotArea>
      <c:layout/>
      <c:barChart>
        <c:barDir val="col"/>
        <c:grouping val="clustered"/>
        <c:varyColors val="0"/>
        <c:ser>
          <c:idx val="0"/>
          <c:order val="0"/>
          <c:tx>
            <c:strRef>
              <c:f>Hoja3!$C$82</c:f>
              <c:strCache>
                <c:ptCount val="1"/>
                <c:pt idx="0">
                  <c:v>Nivel de Cumplimiento</c:v>
                </c:pt>
              </c:strCache>
            </c:strRef>
          </c:tx>
          <c:spPr>
            <a:solidFill>
              <a:schemeClr val="accent1"/>
            </a:solidFill>
          </c:spPr>
          <c:invertIfNegative val="0"/>
          <c:dPt>
            <c:idx val="0"/>
            <c:invertIfNegative val="0"/>
            <c:bubble3D val="0"/>
            <c:spPr>
              <a:solidFill>
                <a:srgbClr val="FFFF00"/>
              </a:solidFill>
            </c:spPr>
            <c:extLst>
              <c:ext xmlns:c16="http://schemas.microsoft.com/office/drawing/2014/chart" uri="{C3380CC4-5D6E-409C-BE32-E72D297353CC}">
                <c16:uniqueId val="{00000001-6847-413A-A7D0-8B32450A3C6D}"/>
              </c:ext>
            </c:extLst>
          </c:dPt>
          <c:dPt>
            <c:idx val="1"/>
            <c:invertIfNegative val="0"/>
            <c:bubble3D val="0"/>
            <c:spPr>
              <a:solidFill>
                <a:srgbClr val="00B050"/>
              </a:solidFill>
            </c:spPr>
            <c:extLst>
              <c:ext xmlns:c16="http://schemas.microsoft.com/office/drawing/2014/chart" uri="{C3380CC4-5D6E-409C-BE32-E72D297353CC}">
                <c16:uniqueId val="{00000003-6847-413A-A7D0-8B32450A3C6D}"/>
              </c:ext>
            </c:extLst>
          </c:dPt>
          <c:dPt>
            <c:idx val="2"/>
            <c:invertIfNegative val="0"/>
            <c:bubble3D val="0"/>
            <c:spPr>
              <a:solidFill>
                <a:srgbClr val="FFFF00"/>
              </a:solidFill>
            </c:spPr>
            <c:extLst>
              <c:ext xmlns:c16="http://schemas.microsoft.com/office/drawing/2014/chart" uri="{C3380CC4-5D6E-409C-BE32-E72D297353CC}">
                <c16:uniqueId val="{00000005-6847-413A-A7D0-8B32450A3C6D}"/>
              </c:ext>
            </c:extLst>
          </c:dPt>
          <c:dLbls>
            <c:dLbl>
              <c:idx val="0"/>
              <c:layout>
                <c:manualLayout>
                  <c:x val="0"/>
                  <c:y val="0.1111111111111111"/>
                </c:manualLayout>
              </c:layout>
              <c:tx>
                <c:rich>
                  <a:bodyPr/>
                  <a:lstStyle/>
                  <a:p>
                    <a:pPr>
                      <a:defRPr sz="1000" b="1"/>
                    </a:pPr>
                    <a:r>
                      <a:rPr lang="en-US"/>
                      <a:t>70.37</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47-413A-A7D0-8B32450A3C6D}"/>
                </c:ext>
              </c:extLst>
            </c:dLbl>
            <c:dLbl>
              <c:idx val="1"/>
              <c:layout>
                <c:manualLayout>
                  <c:x val="-4.0403573658509729E-17"/>
                  <c:y val="0.14351851851851852"/>
                </c:manualLayout>
              </c:layout>
              <c:spPr/>
              <c:txPr>
                <a:bodyPr/>
                <a:lstStyle/>
                <a:p>
                  <a:pPr>
                    <a:defRPr b="1"/>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47-413A-A7D0-8B32450A3C6D}"/>
                </c:ext>
              </c:extLst>
            </c:dLbl>
            <c:dLbl>
              <c:idx val="2"/>
              <c:layout>
                <c:manualLayout>
                  <c:x val="0"/>
                  <c:y val="0.1388888888888889"/>
                </c:manualLayout>
              </c:layout>
              <c:spPr/>
              <c:txPr>
                <a:bodyPr/>
                <a:lstStyle/>
                <a:p>
                  <a:pPr>
                    <a:defRPr b="1"/>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47-413A-A7D0-8B32450A3C6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multiLvlStrRef>
              <c:f>Hoja3!$A$83:$B$85</c:f>
              <c:multiLvlStrCache>
                <c:ptCount val="3"/>
                <c:lvl>
                  <c:pt idx="0">
                    <c:v>Organismo Ejecutivo</c:v>
                  </c:pt>
                  <c:pt idx="1">
                    <c:v>Organismo Legislativo</c:v>
                  </c:pt>
                  <c:pt idx="2">
                    <c:v>Organismo Judicial</c:v>
                  </c:pt>
                </c:lvl>
                <c:lvl>
                  <c:pt idx="0">
                    <c:v>1</c:v>
                  </c:pt>
                  <c:pt idx="1">
                    <c:v>2</c:v>
                  </c:pt>
                  <c:pt idx="2">
                    <c:v>3</c:v>
                  </c:pt>
                </c:lvl>
              </c:multiLvlStrCache>
            </c:multiLvlStrRef>
          </c:cat>
          <c:val>
            <c:numRef>
              <c:f>Hoja3!$C$83:$C$85</c:f>
              <c:numCache>
                <c:formatCode>General</c:formatCode>
                <c:ptCount val="3"/>
                <c:pt idx="0">
                  <c:v>69.05</c:v>
                </c:pt>
                <c:pt idx="1">
                  <c:v>94.05</c:v>
                </c:pt>
                <c:pt idx="2">
                  <c:v>83.33</c:v>
                </c:pt>
              </c:numCache>
            </c:numRef>
          </c:val>
          <c:extLst>
            <c:ext xmlns:c16="http://schemas.microsoft.com/office/drawing/2014/chart" uri="{C3380CC4-5D6E-409C-BE32-E72D297353CC}">
              <c16:uniqueId val="{00000006-6847-413A-A7D0-8B32450A3C6D}"/>
            </c:ext>
          </c:extLst>
        </c:ser>
        <c:dLbls>
          <c:showLegendKey val="0"/>
          <c:showVal val="0"/>
          <c:showCatName val="0"/>
          <c:showSerName val="0"/>
          <c:showPercent val="0"/>
          <c:showBubbleSize val="0"/>
        </c:dLbls>
        <c:gapWidth val="150"/>
        <c:axId val="129811200"/>
        <c:axId val="129813888"/>
      </c:barChart>
      <c:catAx>
        <c:axId val="129811200"/>
        <c:scaling>
          <c:orientation val="minMax"/>
        </c:scaling>
        <c:delete val="0"/>
        <c:axPos val="b"/>
        <c:numFmt formatCode="General" sourceLinked="0"/>
        <c:majorTickMark val="out"/>
        <c:minorTickMark val="none"/>
        <c:tickLblPos val="nextTo"/>
        <c:crossAx val="129813888"/>
        <c:crosses val="autoZero"/>
        <c:auto val="1"/>
        <c:lblAlgn val="ctr"/>
        <c:lblOffset val="100"/>
        <c:noMultiLvlLbl val="0"/>
      </c:catAx>
      <c:valAx>
        <c:axId val="129813888"/>
        <c:scaling>
          <c:orientation val="minMax"/>
        </c:scaling>
        <c:delete val="0"/>
        <c:axPos val="l"/>
        <c:majorGridlines/>
        <c:numFmt formatCode="General" sourceLinked="1"/>
        <c:majorTickMark val="out"/>
        <c:minorTickMark val="none"/>
        <c:tickLblPos val="nextTo"/>
        <c:crossAx val="1298112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es-GT"/>
              <a:t>Nivel de Cumplimiento</a:t>
            </a:r>
          </a:p>
        </c:rich>
      </c:tx>
      <c:overlay val="0"/>
    </c:title>
    <c:autoTitleDeleted val="0"/>
    <c:plotArea>
      <c:layout>
        <c:manualLayout>
          <c:layoutTarget val="inner"/>
          <c:xMode val="edge"/>
          <c:yMode val="edge"/>
          <c:x val="6.8325979913667817E-2"/>
          <c:y val="0.16702573636628754"/>
          <c:w val="0.89122665451942473"/>
          <c:h val="0.60332932341790613"/>
        </c:manualLayout>
      </c:layout>
      <c:barChart>
        <c:barDir val="col"/>
        <c:grouping val="clustered"/>
        <c:varyColors val="0"/>
        <c:ser>
          <c:idx val="1"/>
          <c:order val="0"/>
          <c:tx>
            <c:strRef>
              <c:f>Hoja3!$C$89</c:f>
              <c:strCache>
                <c:ptCount val="1"/>
                <c:pt idx="0">
                  <c:v>Nivel de Cumplimiento 2019</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1-AC94-4084-8DAB-768698582D78}"/>
              </c:ext>
            </c:extLst>
          </c:dPt>
          <c:dPt>
            <c:idx val="1"/>
            <c:invertIfNegative val="0"/>
            <c:bubble3D val="0"/>
            <c:spPr>
              <a:solidFill>
                <a:srgbClr val="00B050"/>
              </a:solidFill>
            </c:spPr>
            <c:extLst>
              <c:ext xmlns:c16="http://schemas.microsoft.com/office/drawing/2014/chart" uri="{C3380CC4-5D6E-409C-BE32-E72D297353CC}">
                <c16:uniqueId val="{00000003-AC94-4084-8DAB-768698582D78}"/>
              </c:ext>
            </c:extLst>
          </c:dPt>
          <c:dPt>
            <c:idx val="2"/>
            <c:invertIfNegative val="0"/>
            <c:bubble3D val="0"/>
            <c:spPr>
              <a:solidFill>
                <a:srgbClr val="FFFF00"/>
              </a:solidFill>
            </c:spPr>
            <c:extLst>
              <c:ext xmlns:c16="http://schemas.microsoft.com/office/drawing/2014/chart" uri="{C3380CC4-5D6E-409C-BE32-E72D297353CC}">
                <c16:uniqueId val="{00000005-AC94-4084-8DAB-768698582D78}"/>
              </c:ext>
            </c:extLst>
          </c:dPt>
          <c:dLbls>
            <c:dLbl>
              <c:idx val="0"/>
              <c:layout>
                <c:manualLayout>
                  <c:x val="2.2038567493112946E-3"/>
                  <c:y val="0.19496755613881597"/>
                </c:manualLayout>
              </c:layout>
              <c:tx>
                <c:rich>
                  <a:bodyPr/>
                  <a:lstStyle/>
                  <a:p>
                    <a:pPr>
                      <a:defRPr b="1"/>
                    </a:pPr>
                    <a:r>
                      <a:rPr lang="en-US"/>
                      <a:t>2019</a:t>
                    </a:r>
                  </a:p>
                  <a:p>
                    <a:pPr>
                      <a:defRPr b="1"/>
                    </a:pPr>
                    <a:r>
                      <a:rPr lang="en-US"/>
                      <a:t>57.41</a:t>
                    </a:r>
                  </a:p>
                </c:rich>
              </c:tx>
              <c:spPr/>
              <c:dLblPos val="outEnd"/>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C94-4084-8DAB-768698582D78}"/>
                </c:ext>
              </c:extLst>
            </c:dLbl>
            <c:dLbl>
              <c:idx val="1"/>
              <c:layout>
                <c:manualLayout>
                  <c:x val="0"/>
                  <c:y val="0.20833296879556723"/>
                </c:manualLayout>
              </c:layout>
              <c:tx>
                <c:rich>
                  <a:bodyPr/>
                  <a:lstStyle/>
                  <a:p>
                    <a:pPr>
                      <a:defRPr b="1"/>
                    </a:pPr>
                    <a:r>
                      <a:rPr lang="en-US"/>
                      <a:t>2019
94.05</a:t>
                    </a:r>
                  </a:p>
                </c:rich>
              </c:tx>
              <c:sp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C94-4084-8DAB-768698582D78}"/>
                </c:ext>
              </c:extLst>
            </c:dLbl>
            <c:dLbl>
              <c:idx val="2"/>
              <c:layout>
                <c:manualLayout>
                  <c:x val="2.2037722333721915E-3"/>
                  <c:y val="0.25925925925925924"/>
                </c:manualLayout>
              </c:layout>
              <c:tx>
                <c:rich>
                  <a:bodyPr/>
                  <a:lstStyle/>
                  <a:p>
                    <a:pPr>
                      <a:defRPr b="1"/>
                    </a:pPr>
                    <a:r>
                      <a:rPr lang="en-US"/>
                      <a:t>2019
80.00</a:t>
                    </a:r>
                  </a:p>
                </c:rich>
              </c:tx>
              <c:sp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C94-4084-8DAB-768698582D78}"/>
                </c:ext>
              </c:extLst>
            </c:dLbl>
            <c:spPr>
              <a:noFill/>
              <a:ln>
                <a:noFill/>
              </a:ln>
              <a:effectLst/>
            </c:spPr>
            <c:showLegendKey val="0"/>
            <c:showVal val="0"/>
            <c:showCatName val="0"/>
            <c:showSerName val="0"/>
            <c:showPercent val="0"/>
            <c:showBubbleSize val="0"/>
            <c:separator>
</c:separator>
            <c:extLst>
              <c:ext xmlns:c15="http://schemas.microsoft.com/office/drawing/2012/chart" uri="{CE6537A1-D6FC-4f65-9D91-7224C49458BB}">
                <c15:showLeaderLines val="0"/>
              </c:ext>
            </c:extLst>
          </c:dLbls>
          <c:cat>
            <c:multiLvlStrRef>
              <c:f>Hoja3!$A$90:$B$92</c:f>
              <c:multiLvlStrCache>
                <c:ptCount val="3"/>
                <c:lvl>
                  <c:pt idx="0">
                    <c:v>Organismo Ejecutivo</c:v>
                  </c:pt>
                  <c:pt idx="1">
                    <c:v>Organismo Legislativo</c:v>
                  </c:pt>
                  <c:pt idx="2">
                    <c:v>Organismo Judicial</c:v>
                  </c:pt>
                </c:lvl>
                <c:lvl>
                  <c:pt idx="0">
                    <c:v>1</c:v>
                  </c:pt>
                  <c:pt idx="1">
                    <c:v>2</c:v>
                  </c:pt>
                  <c:pt idx="2">
                    <c:v>3</c:v>
                  </c:pt>
                </c:lvl>
              </c:multiLvlStrCache>
            </c:multiLvlStrRef>
          </c:cat>
          <c:val>
            <c:numRef>
              <c:f>Hoja3!$C$90:$C$92</c:f>
              <c:numCache>
                <c:formatCode>General</c:formatCode>
                <c:ptCount val="3"/>
                <c:pt idx="0">
                  <c:v>57.41</c:v>
                </c:pt>
                <c:pt idx="1">
                  <c:v>94.05</c:v>
                </c:pt>
                <c:pt idx="2" formatCode="0.00">
                  <c:v>80</c:v>
                </c:pt>
              </c:numCache>
            </c:numRef>
          </c:val>
          <c:extLst>
            <c:ext xmlns:c16="http://schemas.microsoft.com/office/drawing/2014/chart" uri="{C3380CC4-5D6E-409C-BE32-E72D297353CC}">
              <c16:uniqueId val="{00000006-AC94-4084-8DAB-768698582D78}"/>
            </c:ext>
          </c:extLst>
        </c:ser>
        <c:ser>
          <c:idx val="2"/>
          <c:order val="1"/>
          <c:tx>
            <c:strRef>
              <c:f>Hoja3!$D$89</c:f>
              <c:strCache>
                <c:ptCount val="1"/>
                <c:pt idx="0">
                  <c:v>Nivel de Cumplimiento 2020</c:v>
                </c:pt>
              </c:strCache>
            </c:strRef>
          </c:tx>
          <c:spPr>
            <a:solidFill>
              <a:srgbClr val="FFFF00"/>
            </a:solidFill>
          </c:spPr>
          <c:invertIfNegative val="0"/>
          <c:dPt>
            <c:idx val="1"/>
            <c:invertIfNegative val="0"/>
            <c:bubble3D val="0"/>
            <c:spPr>
              <a:solidFill>
                <a:srgbClr val="00B050"/>
              </a:solidFill>
            </c:spPr>
            <c:extLst>
              <c:ext xmlns:c16="http://schemas.microsoft.com/office/drawing/2014/chart" uri="{C3380CC4-5D6E-409C-BE32-E72D297353CC}">
                <c16:uniqueId val="{00000008-AC94-4084-8DAB-768698582D78}"/>
              </c:ext>
            </c:extLst>
          </c:dPt>
          <c:dLbls>
            <c:dLbl>
              <c:idx val="0"/>
              <c:layout>
                <c:manualLayout>
                  <c:x val="0"/>
                  <c:y val="0.17129629629629631"/>
                </c:manualLayout>
              </c:layout>
              <c:tx>
                <c:rich>
                  <a:bodyPr/>
                  <a:lstStyle/>
                  <a:p>
                    <a:pPr>
                      <a:defRPr b="1"/>
                    </a:pPr>
                    <a:r>
                      <a:rPr lang="en-US"/>
                      <a:t>2020
70.37</a:t>
                    </a:r>
                  </a:p>
                </c:rich>
              </c:tx>
              <c:sp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C94-4084-8DAB-768698582D78}"/>
                </c:ext>
              </c:extLst>
            </c:dLbl>
            <c:dLbl>
              <c:idx val="1"/>
              <c:layout>
                <c:manualLayout>
                  <c:x val="-2.2038567493112946E-3"/>
                  <c:y val="0.20833296879556723"/>
                </c:manualLayout>
              </c:layout>
              <c:tx>
                <c:rich>
                  <a:bodyPr/>
                  <a:lstStyle/>
                  <a:p>
                    <a:pPr>
                      <a:defRPr b="1"/>
                    </a:pPr>
                    <a:r>
                      <a:rPr lang="en-US"/>
                      <a:t>2020</a:t>
                    </a:r>
                  </a:p>
                  <a:p>
                    <a:pPr>
                      <a:defRPr b="1"/>
                    </a:pPr>
                    <a:r>
                      <a:rPr lang="en-US"/>
                      <a:t>94.05</a:t>
                    </a:r>
                  </a:p>
                </c:rich>
              </c:tx>
              <c:sp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AC94-4084-8DAB-768698582D78}"/>
                </c:ext>
              </c:extLst>
            </c:dLbl>
            <c:dLbl>
              <c:idx val="2"/>
              <c:layout>
                <c:manualLayout>
                  <c:x val="2.20368321728379E-3"/>
                  <c:y val="0.23148148148148148"/>
                </c:manualLayout>
              </c:layout>
              <c:tx>
                <c:rich>
                  <a:bodyPr/>
                  <a:lstStyle/>
                  <a:p>
                    <a:pPr>
                      <a:defRPr b="1"/>
                    </a:pPr>
                    <a:r>
                      <a:rPr lang="en-US"/>
                      <a:t>2020
83.33</a:t>
                    </a:r>
                  </a:p>
                </c:rich>
              </c:tx>
              <c:spPr/>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AC94-4084-8DAB-768698582D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Hoja3!$A$90:$B$92</c:f>
              <c:multiLvlStrCache>
                <c:ptCount val="3"/>
                <c:lvl>
                  <c:pt idx="0">
                    <c:v>Organismo Ejecutivo</c:v>
                  </c:pt>
                  <c:pt idx="1">
                    <c:v>Organismo Legislativo</c:v>
                  </c:pt>
                  <c:pt idx="2">
                    <c:v>Organismo Judicial</c:v>
                  </c:pt>
                </c:lvl>
                <c:lvl>
                  <c:pt idx="0">
                    <c:v>1</c:v>
                  </c:pt>
                  <c:pt idx="1">
                    <c:v>2</c:v>
                  </c:pt>
                  <c:pt idx="2">
                    <c:v>3</c:v>
                  </c:pt>
                </c:lvl>
              </c:multiLvlStrCache>
            </c:multiLvlStrRef>
          </c:cat>
          <c:val>
            <c:numRef>
              <c:f>Hoja3!$D$90:$D$92</c:f>
              <c:numCache>
                <c:formatCode>General</c:formatCode>
                <c:ptCount val="3"/>
                <c:pt idx="0">
                  <c:v>69.05</c:v>
                </c:pt>
                <c:pt idx="1">
                  <c:v>94.05</c:v>
                </c:pt>
                <c:pt idx="2">
                  <c:v>83.33</c:v>
                </c:pt>
              </c:numCache>
            </c:numRef>
          </c:val>
          <c:extLst>
            <c:ext xmlns:c16="http://schemas.microsoft.com/office/drawing/2014/chart" uri="{C3380CC4-5D6E-409C-BE32-E72D297353CC}">
              <c16:uniqueId val="{0000000B-AC94-4084-8DAB-768698582D78}"/>
            </c:ext>
          </c:extLst>
        </c:ser>
        <c:dLbls>
          <c:showLegendKey val="0"/>
          <c:showVal val="0"/>
          <c:showCatName val="0"/>
          <c:showSerName val="0"/>
          <c:showPercent val="0"/>
          <c:showBubbleSize val="0"/>
        </c:dLbls>
        <c:gapWidth val="150"/>
        <c:axId val="57916032"/>
        <c:axId val="57930112"/>
      </c:barChart>
      <c:catAx>
        <c:axId val="57916032"/>
        <c:scaling>
          <c:orientation val="minMax"/>
        </c:scaling>
        <c:delete val="0"/>
        <c:axPos val="b"/>
        <c:numFmt formatCode="General" sourceLinked="0"/>
        <c:majorTickMark val="out"/>
        <c:minorTickMark val="none"/>
        <c:tickLblPos val="nextTo"/>
        <c:crossAx val="57930112"/>
        <c:crosses val="autoZero"/>
        <c:auto val="1"/>
        <c:lblAlgn val="ctr"/>
        <c:lblOffset val="100"/>
        <c:noMultiLvlLbl val="0"/>
      </c:catAx>
      <c:valAx>
        <c:axId val="57930112"/>
        <c:scaling>
          <c:orientation val="minMax"/>
        </c:scaling>
        <c:delete val="0"/>
        <c:axPos val="l"/>
        <c:majorGridlines/>
        <c:numFmt formatCode="General" sourceLinked="1"/>
        <c:majorTickMark val="out"/>
        <c:minorTickMark val="none"/>
        <c:tickLblPos val="nextTo"/>
        <c:crossAx val="5791603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6.8742821456802092E-2"/>
          <c:y val="5.1579650104712521E-2"/>
          <c:w val="0.76877295496132869"/>
          <c:h val="0.77533466853228716"/>
        </c:manualLayout>
      </c:layout>
      <c:barChart>
        <c:barDir val="col"/>
        <c:grouping val="clustered"/>
        <c:varyColors val="0"/>
        <c:ser>
          <c:idx val="0"/>
          <c:order val="0"/>
          <c:tx>
            <c:strRef>
              <c:f>'Comparativo 19-20'!$E$196</c:f>
              <c:strCache>
                <c:ptCount val="1"/>
                <c:pt idx="0">
                  <c:v>Promedio 2019</c:v>
                </c:pt>
              </c:strCache>
            </c:strRef>
          </c:tx>
          <c:invertIfNegative val="0"/>
          <c:dLbls>
            <c:dLbl>
              <c:idx val="0"/>
              <c:layout>
                <c:manualLayout>
                  <c:x val="0"/>
                  <c:y val="0.11149825783972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B8-48C9-9BA3-F87AC26CC605}"/>
                </c:ext>
              </c:extLst>
            </c:dLbl>
            <c:dLbl>
              <c:idx val="1"/>
              <c:layout>
                <c:manualLayout>
                  <c:x val="0"/>
                  <c:y val="0.102206736353077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B8-48C9-9BA3-F87AC26CC605}"/>
                </c:ext>
              </c:extLst>
            </c:dLbl>
            <c:dLbl>
              <c:idx val="2"/>
              <c:layout>
                <c:manualLayout>
                  <c:x val="0"/>
                  <c:y val="0.11149825783972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B8-48C9-9BA3-F87AC26CC605}"/>
                </c:ext>
              </c:extLst>
            </c:dLbl>
            <c:dLbl>
              <c:idx val="3"/>
              <c:layout>
                <c:manualLayout>
                  <c:x val="-8.1344965269212601E-17"/>
                  <c:y val="0.111498257839721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B8-48C9-9BA3-F87AC26CC605}"/>
                </c:ext>
              </c:extLst>
            </c:dLbl>
            <c:spPr>
              <a:noFill/>
              <a:ln>
                <a:noFill/>
              </a:ln>
              <a:effectLst/>
            </c:spPr>
            <c:txPr>
              <a:bodyPr/>
              <a:lstStyle/>
              <a:p>
                <a:pPr>
                  <a:defRPr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'Comparativo 19-20'!$D$197:$D$200</c:f>
              <c:strCache>
                <c:ptCount val="4"/>
                <c:pt idx="0">
                  <c:v>Secretarías</c:v>
                </c:pt>
                <c:pt idx="1">
                  <c:v>Ministerios</c:v>
                </c:pt>
                <c:pt idx="2">
                  <c:v>Otras dependencias del Ejecutivo</c:v>
                </c:pt>
                <c:pt idx="3">
                  <c:v>Gobernaciones</c:v>
                </c:pt>
              </c:strCache>
            </c:strRef>
          </c:cat>
          <c:val>
            <c:numRef>
              <c:f>'Comparativo 19-20'!$E$197:$E$200</c:f>
              <c:numCache>
                <c:formatCode>General</c:formatCode>
                <c:ptCount val="4"/>
                <c:pt idx="0">
                  <c:v>77.42</c:v>
                </c:pt>
                <c:pt idx="1">
                  <c:v>72.989999999999995</c:v>
                </c:pt>
                <c:pt idx="2">
                  <c:v>57.43</c:v>
                </c:pt>
                <c:pt idx="3">
                  <c:v>32.01</c:v>
                </c:pt>
              </c:numCache>
            </c:numRef>
          </c:val>
          <c:extLst>
            <c:ext xmlns:c16="http://schemas.microsoft.com/office/drawing/2014/chart" uri="{C3380CC4-5D6E-409C-BE32-E72D297353CC}">
              <c16:uniqueId val="{00000004-02B8-48C9-9BA3-F87AC26CC605}"/>
            </c:ext>
          </c:extLst>
        </c:ser>
        <c:ser>
          <c:idx val="1"/>
          <c:order val="1"/>
          <c:tx>
            <c:strRef>
              <c:f>'Comparativo 19-20'!$F$196</c:f>
              <c:strCache>
                <c:ptCount val="1"/>
                <c:pt idx="0">
                  <c:v>Promedio 2020</c:v>
                </c:pt>
              </c:strCache>
            </c:strRef>
          </c:tx>
          <c:invertIfNegative val="0"/>
          <c:dLbls>
            <c:dLbl>
              <c:idx val="0"/>
              <c:layout>
                <c:manualLayout>
                  <c:x val="0"/>
                  <c:y val="8.3623693379790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B8-48C9-9BA3-F87AC26CC605}"/>
                </c:ext>
              </c:extLst>
            </c:dLbl>
            <c:dLbl>
              <c:idx val="1"/>
              <c:layout>
                <c:manualLayout>
                  <c:x val="0"/>
                  <c:y val="0.10685249709639957"/>
                </c:manualLayout>
              </c:layout>
              <c:tx>
                <c:rich>
                  <a:bodyPr/>
                  <a:lstStyle/>
                  <a:p>
                    <a:r>
                      <a:rPr lang="en-US"/>
                      <a:t>84.79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B8-48C9-9BA3-F87AC26CC605}"/>
                </c:ext>
              </c:extLst>
            </c:dLbl>
            <c:dLbl>
              <c:idx val="2"/>
              <c:layout>
                <c:manualLayout>
                  <c:x val="0"/>
                  <c:y val="0.116144018583042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B8-48C9-9BA3-F87AC26CC605}"/>
                </c:ext>
              </c:extLst>
            </c:dLbl>
            <c:dLbl>
              <c:idx val="3"/>
              <c:layout>
                <c:manualLayout>
                  <c:x val="0"/>
                  <c:y val="9.7560975609756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B8-48C9-9BA3-F87AC26CC605}"/>
                </c:ext>
              </c:extLst>
            </c:dLbl>
            <c:spPr>
              <a:noFill/>
              <a:ln>
                <a:noFill/>
              </a:ln>
              <a:effectLst/>
            </c:spPr>
            <c:txPr>
              <a:bodyPr/>
              <a:lstStyle/>
              <a:p>
                <a:pPr>
                  <a:defRPr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'Comparativo 19-20'!$D$197:$D$200</c:f>
              <c:strCache>
                <c:ptCount val="4"/>
                <c:pt idx="0">
                  <c:v>Secretarías</c:v>
                </c:pt>
                <c:pt idx="1">
                  <c:v>Ministerios</c:v>
                </c:pt>
                <c:pt idx="2">
                  <c:v>Otras dependencias del Ejecutivo</c:v>
                </c:pt>
                <c:pt idx="3">
                  <c:v>Gobernaciones</c:v>
                </c:pt>
              </c:strCache>
            </c:strRef>
          </c:cat>
          <c:val>
            <c:numRef>
              <c:f>'Comparativo 19-20'!$F$197:$F$200</c:f>
              <c:numCache>
                <c:formatCode>General</c:formatCode>
                <c:ptCount val="4"/>
                <c:pt idx="0">
                  <c:v>82.79</c:v>
                </c:pt>
                <c:pt idx="1">
                  <c:v>83.39</c:v>
                </c:pt>
                <c:pt idx="2">
                  <c:v>74.260000000000005</c:v>
                </c:pt>
                <c:pt idx="3">
                  <c:v>49.91</c:v>
                </c:pt>
              </c:numCache>
            </c:numRef>
          </c:val>
          <c:extLst>
            <c:ext xmlns:c16="http://schemas.microsoft.com/office/drawing/2014/chart" uri="{C3380CC4-5D6E-409C-BE32-E72D297353CC}">
              <c16:uniqueId val="{00000009-02B8-48C9-9BA3-F87AC26CC605}"/>
            </c:ext>
          </c:extLst>
        </c:ser>
        <c:dLbls>
          <c:showLegendKey val="0"/>
          <c:showVal val="0"/>
          <c:showCatName val="0"/>
          <c:showSerName val="0"/>
          <c:showPercent val="0"/>
          <c:showBubbleSize val="0"/>
        </c:dLbls>
        <c:gapWidth val="150"/>
        <c:axId val="57959936"/>
        <c:axId val="57961472"/>
      </c:barChart>
      <c:catAx>
        <c:axId val="57959936"/>
        <c:scaling>
          <c:orientation val="minMax"/>
        </c:scaling>
        <c:delete val="0"/>
        <c:axPos val="b"/>
        <c:numFmt formatCode="General" sourceLinked="0"/>
        <c:majorTickMark val="out"/>
        <c:minorTickMark val="none"/>
        <c:tickLblPos val="nextTo"/>
        <c:crossAx val="57961472"/>
        <c:crosses val="autoZero"/>
        <c:auto val="1"/>
        <c:lblAlgn val="ctr"/>
        <c:lblOffset val="100"/>
        <c:noMultiLvlLbl val="0"/>
      </c:catAx>
      <c:valAx>
        <c:axId val="57961472"/>
        <c:scaling>
          <c:orientation val="minMax"/>
          <c:max val="100"/>
        </c:scaling>
        <c:delete val="0"/>
        <c:axPos val="l"/>
        <c:majorGridlines/>
        <c:numFmt formatCode="General" sourceLinked="1"/>
        <c:majorTickMark val="out"/>
        <c:minorTickMark val="none"/>
        <c:tickLblPos val="nextTo"/>
        <c:crossAx val="57959936"/>
        <c:crosses val="autoZero"/>
        <c:crossBetween val="between"/>
      </c:valAx>
    </c:plotArea>
    <c:legend>
      <c:legendPos val="r"/>
      <c:layout>
        <c:manualLayout>
          <c:xMode val="edge"/>
          <c:yMode val="edge"/>
          <c:x val="0.85304544918574032"/>
          <c:y val="0.27661810566362133"/>
          <c:w val="0.13364340272773725"/>
          <c:h val="0.40030581543160765"/>
        </c:manualLayou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leT">
    <w:altName w:val="Castle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pperplate Gothic Light">
    <w:panose1 w:val="020E05070202060204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2CB"/>
    <w:rsid w:val="00857C12"/>
    <w:rsid w:val="00F502C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FC3CF086894A72878B77B57316255C">
    <w:name w:val="DAFC3CF086894A72878B77B57316255C"/>
    <w:rsid w:val="00F502CB"/>
  </w:style>
  <w:style w:type="paragraph" w:customStyle="1" w:styleId="6AEDE92F28F54531BB4D845FF96AEEC9">
    <w:name w:val="6AEDE92F28F54531BB4D845FF96AEEC9"/>
    <w:rsid w:val="00F502CB"/>
  </w:style>
  <w:style w:type="paragraph" w:customStyle="1" w:styleId="C0B89D3727F74CC996FA3314B73961B3">
    <w:name w:val="C0B89D3727F74CC996FA3314B73961B3"/>
    <w:rsid w:val="00F502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1D1A6-7B92-428D-A1D8-48D97D493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6148</Words>
  <Characters>33819</Characters>
  <Application>Microsoft Office Word</Application>
  <DocSecurity>0</DocSecurity>
  <Lines>281</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Francia Anabelle Tercero Gómez</dc:creator>
  <cp:lastModifiedBy>Lilian Roxana Sierra Velez</cp:lastModifiedBy>
  <cp:revision>3</cp:revision>
  <cp:lastPrinted>2020-12-30T18:12:00Z</cp:lastPrinted>
  <dcterms:created xsi:type="dcterms:W3CDTF">2020-12-30T18:15:00Z</dcterms:created>
  <dcterms:modified xsi:type="dcterms:W3CDTF">2020-12-30T18:31:00Z</dcterms:modified>
</cp:coreProperties>
</file>